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54B1" w14:textId="05522184" w:rsidR="00E66558" w:rsidRPr="00843649" w:rsidRDefault="00843649" w:rsidP="00843649">
      <w:pPr>
        <w:pStyle w:val="Heading1"/>
        <w:jc w:val="center"/>
        <w:rPr>
          <w:color w:val="000000" w:themeColor="text1"/>
          <w:sz w:val="32"/>
          <w:szCs w:val="32"/>
          <w:u w:val="single"/>
        </w:rPr>
      </w:pPr>
      <w:bookmarkStart w:id="0" w:name="_Toc338167830"/>
      <w:bookmarkStart w:id="1" w:name="_Toc361136403"/>
      <w:bookmarkStart w:id="2" w:name="_Toc364235708"/>
      <w:bookmarkStart w:id="3" w:name="_Toc364235752"/>
      <w:bookmarkStart w:id="4" w:name="_Toc364235834"/>
      <w:bookmarkStart w:id="5" w:name="_Toc364840099"/>
      <w:bookmarkStart w:id="6" w:name="_Toc364864309"/>
      <w:bookmarkStart w:id="7" w:name="_Toc400361364"/>
      <w:bookmarkStart w:id="8" w:name="_Toc443397154"/>
      <w:bookmarkStart w:id="9" w:name="_Toc357771638"/>
      <w:bookmarkStart w:id="10" w:name="_Toc346793416"/>
      <w:bookmarkStart w:id="11" w:name="_Toc328122777"/>
      <w:proofErr w:type="spellStart"/>
      <w:r w:rsidRPr="00843649">
        <w:rPr>
          <w:color w:val="000000" w:themeColor="text1"/>
          <w:sz w:val="32"/>
          <w:szCs w:val="32"/>
          <w:u w:val="single"/>
        </w:rPr>
        <w:t>Arley</w:t>
      </w:r>
      <w:proofErr w:type="spellEnd"/>
      <w:r w:rsidRPr="00843649">
        <w:rPr>
          <w:color w:val="000000" w:themeColor="text1"/>
          <w:sz w:val="32"/>
          <w:szCs w:val="32"/>
          <w:u w:val="single"/>
        </w:rPr>
        <w:t xml:space="preserve"> Primary School</w:t>
      </w:r>
    </w:p>
    <w:p w14:paraId="3ADC85FE" w14:textId="55310732" w:rsidR="00843649" w:rsidRPr="00843649" w:rsidRDefault="00843649" w:rsidP="00843649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43649">
        <w:rPr>
          <w:b/>
          <w:color w:val="000000" w:themeColor="text1"/>
          <w:sz w:val="32"/>
          <w:szCs w:val="32"/>
          <w:u w:val="single"/>
        </w:rPr>
        <w:t>Pupil Premium Strategy Statement</w:t>
      </w:r>
      <w:r w:rsidR="000C175A">
        <w:rPr>
          <w:b/>
          <w:color w:val="000000" w:themeColor="text1"/>
          <w:sz w:val="32"/>
          <w:szCs w:val="32"/>
          <w:u w:val="single"/>
        </w:rPr>
        <w:t xml:space="preserve"> 2022-23</w:t>
      </w:r>
    </w:p>
    <w:p w14:paraId="4EE876CB" w14:textId="77777777" w:rsidR="008E000B" w:rsidRDefault="008E000B" w:rsidP="00C62989"/>
    <w:p w14:paraId="2A7D54B2" w14:textId="3EE41438" w:rsidR="00E66558" w:rsidRDefault="009D71E8" w:rsidP="00C62989">
      <w:pPr>
        <w:rPr>
          <w:b/>
        </w:rPr>
      </w:pPr>
      <w:r>
        <w:t xml:space="preserve">This statement details our school’s use of pupil premium (and recovery premium) funding to help improve the attainment of our disadvantaged pupils. </w:t>
      </w:r>
    </w:p>
    <w:p w14:paraId="2A7D54B3" w14:textId="730F2E71" w:rsidR="00E66558" w:rsidRDefault="009D71E8" w:rsidP="00C62989">
      <w:pPr>
        <w:rPr>
          <w:b/>
        </w:rPr>
      </w:pPr>
      <w:r>
        <w:t xml:space="preserve">It outlines our pupil premium strategy, how we intend to spend the funding in this academic year and the </w:t>
      </w:r>
      <w:r w:rsidR="00830D57">
        <w:t xml:space="preserve">outcomes </w:t>
      </w:r>
      <w:r w:rsidR="00A44FBB">
        <w:t>for disadvantaged pupils</w:t>
      </w:r>
      <w:r>
        <w:t xml:space="preserve"> last </w:t>
      </w:r>
      <w:r w:rsidR="00A44FBB">
        <w:t xml:space="preserve">academic </w:t>
      </w:r>
      <w:r>
        <w:t>year</w:t>
      </w:r>
      <w:r w:rsidR="00A44FBB">
        <w:t>.</w:t>
      </w:r>
    </w:p>
    <w:p w14:paraId="2A7D54B4" w14:textId="2CAB096C" w:rsidR="00E66558" w:rsidRDefault="009D71E8">
      <w:pPr>
        <w:pStyle w:val="Heading2"/>
      </w:pPr>
      <w:r>
        <w:t>School overview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2940F3" w14:paraId="2A7D54BA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E4C52DD" w:rsidR="002940F3" w:rsidRDefault="002940F3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08A6585A" w:rsidR="002940F3" w:rsidRDefault="00843649">
            <w:pPr>
              <w:pStyle w:val="TableRow"/>
            </w:pPr>
            <w:r>
              <w:t>187</w:t>
            </w:r>
          </w:p>
        </w:tc>
      </w:tr>
      <w:tr w:rsidR="002940F3" w14:paraId="2A7D54BD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04774D67" w:rsidR="002940F3" w:rsidRDefault="002940F3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617855C5" w:rsidR="002940F3" w:rsidRDefault="00843649">
            <w:pPr>
              <w:pStyle w:val="TableRow"/>
            </w:pPr>
            <w:r>
              <w:t>39%</w:t>
            </w:r>
          </w:p>
        </w:tc>
      </w:tr>
      <w:tr w:rsidR="002940F3" w14:paraId="2A7D54C0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2862A41A" w:rsidR="002940F3" w:rsidRDefault="002940F3">
            <w:pPr>
              <w:pStyle w:val="TableRow"/>
            </w:pPr>
            <w:r>
              <w:t xml:space="preserve">Academic year/years that our current pupil premium strategy plan covers </w:t>
            </w:r>
            <w:r w:rsidRPr="1CBF4D92">
              <w:rPr>
                <w:b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60352008" w:rsidR="002940F3" w:rsidRDefault="00843649">
            <w:pPr>
              <w:pStyle w:val="TableRow"/>
            </w:pPr>
            <w:r>
              <w:t>2022-23</w:t>
            </w:r>
          </w:p>
        </w:tc>
      </w:tr>
      <w:tr w:rsidR="002940F3" w14:paraId="2A7D54C3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0F472705" w:rsidR="002940F3" w:rsidRDefault="002940F3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36430CC3" w:rsidR="002940F3" w:rsidRDefault="00843649">
            <w:pPr>
              <w:pStyle w:val="TableRow"/>
            </w:pPr>
            <w:r>
              <w:t>December 2022</w:t>
            </w:r>
          </w:p>
        </w:tc>
      </w:tr>
      <w:tr w:rsidR="002940F3" w14:paraId="2A7D54C6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0C766347" w:rsidR="002940F3" w:rsidRDefault="002940F3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1BD2D1DF" w:rsidR="002940F3" w:rsidRDefault="00843649">
            <w:pPr>
              <w:pStyle w:val="TableRow"/>
            </w:pPr>
            <w:r>
              <w:t>December 2023</w:t>
            </w:r>
          </w:p>
        </w:tc>
      </w:tr>
      <w:tr w:rsidR="002940F3" w14:paraId="2A7D54CC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5DC091D2" w:rsidR="002940F3" w:rsidRDefault="002940F3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59D0156A" w:rsidR="002940F3" w:rsidRDefault="00843649">
            <w:pPr>
              <w:pStyle w:val="TableRow"/>
            </w:pPr>
            <w:r>
              <w:t>Nicola Finch-Turner</w:t>
            </w:r>
          </w:p>
        </w:tc>
      </w:tr>
      <w:tr w:rsidR="002940F3" w14:paraId="2A7D54CF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19C4D30" w:rsidR="002940F3" w:rsidRDefault="002940F3">
            <w:pPr>
              <w:pStyle w:val="TableRow"/>
            </w:pPr>
            <w:r>
              <w:t>Governor lead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388C18B3" w:rsidR="002940F3" w:rsidRDefault="00843649">
            <w:pPr>
              <w:pStyle w:val="TableRow"/>
            </w:pPr>
            <w:r>
              <w:t>Jody Gosling</w:t>
            </w:r>
          </w:p>
        </w:tc>
      </w:tr>
    </w:tbl>
    <w:bookmarkEnd w:id="9"/>
    <w:bookmarkEnd w:id="10"/>
    <w:bookmarkEnd w:id="11"/>
    <w:p w14:paraId="2A7D54D3" w14:textId="77777777" w:rsidR="00E66558" w:rsidRPr="005464A1" w:rsidRDefault="009D71E8" w:rsidP="005464A1">
      <w:pPr>
        <w:pStyle w:val="Heading2"/>
      </w:pPr>
      <w: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4D211E73" w:rsidR="00E66558" w:rsidRDefault="009D71E8">
            <w:pPr>
              <w:pStyle w:val="TableRow"/>
            </w:pPr>
            <w:r>
              <w:t>£</w:t>
            </w:r>
            <w:r w:rsidR="00B2574D">
              <w:t>93, 820</w:t>
            </w:r>
          </w:p>
        </w:tc>
      </w:tr>
      <w:tr w:rsidR="00E66558" w14:paraId="2A7D54DC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2FC5C121" w:rsidR="00E66558" w:rsidRDefault="009D71E8">
            <w:pPr>
              <w:pStyle w:val="TableRow"/>
            </w:pPr>
            <w:r>
              <w:t>£</w:t>
            </w:r>
            <w:r w:rsidR="00B2574D">
              <w:t>9 518</w:t>
            </w:r>
          </w:p>
        </w:tc>
      </w:tr>
      <w:tr w:rsidR="00E66558" w14:paraId="2A7D54DF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4CFA" w14:textId="48B2DB91" w:rsidR="00843649" w:rsidRDefault="009D71E8" w:rsidP="00843649">
            <w:pPr>
              <w:pStyle w:val="TableRow"/>
              <w:spacing w:after="120"/>
              <w:rPr>
                <w:i/>
                <w:iCs/>
              </w:rPr>
            </w:pPr>
            <w:r>
              <w:t xml:space="preserve">Pupil premium </w:t>
            </w:r>
            <w:r w:rsidR="006E0786">
              <w:t>(and recovery premium</w:t>
            </w:r>
            <w:r w:rsidR="001E206F">
              <w:t xml:space="preserve">*) </w:t>
            </w:r>
            <w:r>
              <w:t>funding carried forward from previous years</w:t>
            </w:r>
          </w:p>
          <w:p w14:paraId="2A7D54DD" w14:textId="3F4B4865" w:rsidR="001E206F" w:rsidRPr="00586FBC" w:rsidRDefault="0092287F">
            <w:pPr>
              <w:pStyle w:val="TableRow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3A71EAD9" w:rsidR="00E66558" w:rsidRDefault="009D71E8">
            <w:pPr>
              <w:pStyle w:val="TableRow"/>
            </w:pPr>
            <w:r>
              <w:t>£</w:t>
            </w:r>
            <w:r w:rsidR="00843649">
              <w:t>0</w:t>
            </w:r>
          </w:p>
        </w:tc>
      </w:tr>
      <w:tr w:rsidR="00E66558" w14:paraId="2A7D54E3" w14:textId="77777777" w:rsidTr="625D1A15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 w:rsidP="009C0914">
            <w:pPr>
              <w:pStyle w:val="TableRow"/>
              <w:spacing w:after="120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5BF0A835" w:rsidR="00E66558" w:rsidRPr="003C4388" w:rsidRDefault="00E66558">
            <w:pPr>
              <w:pStyle w:val="TableRow"/>
              <w:rPr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0EF6C834" w:rsidR="00E66558" w:rsidRDefault="009D71E8">
            <w:pPr>
              <w:pStyle w:val="TableRow"/>
            </w:pPr>
            <w:r>
              <w:t>£</w:t>
            </w:r>
            <w:r w:rsidR="00B2574D">
              <w:t>103, 338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2" w:name="_Toc357771640"/>
      <w:bookmarkStart w:id="13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5597" w14:textId="6B9EB6BC" w:rsidR="007B37D7" w:rsidRDefault="007B37D7" w:rsidP="007B37D7">
            <w:pPr>
              <w:spacing w:after="0" w:line="240" w:lineRule="auto"/>
              <w:rPr>
                <w:i/>
                <w:iCs/>
              </w:rPr>
            </w:pPr>
            <w:r w:rsidRPr="007B37D7">
              <w:rPr>
                <w:i/>
                <w:iCs/>
              </w:rPr>
              <w:t xml:space="preserve">As each new day begins - endless possibilities lie before us – to be the very best that we can be through hard work, commitment, dedication and aspiration. This is the vision for </w:t>
            </w:r>
            <w:proofErr w:type="spellStart"/>
            <w:r w:rsidRPr="007B37D7">
              <w:rPr>
                <w:i/>
                <w:iCs/>
              </w:rPr>
              <w:t>Arley</w:t>
            </w:r>
            <w:proofErr w:type="spellEnd"/>
            <w:r w:rsidRPr="007B37D7">
              <w:rPr>
                <w:i/>
                <w:iCs/>
              </w:rPr>
              <w:t xml:space="preserve"> Primary School. Our Curriculum is based on our vision ‘new beginnings, endless possibilities’ and has a strong emphasis on the development of the </w:t>
            </w:r>
            <w:proofErr w:type="spellStart"/>
            <w:r w:rsidRPr="007B37D7">
              <w:rPr>
                <w:i/>
                <w:iCs/>
              </w:rPr>
              <w:t>Arley</w:t>
            </w:r>
            <w:proofErr w:type="spellEnd"/>
            <w:r w:rsidRPr="007B37D7">
              <w:rPr>
                <w:i/>
                <w:iCs/>
              </w:rPr>
              <w:t xml:space="preserve"> 8 attributes.</w:t>
            </w:r>
          </w:p>
          <w:p w14:paraId="61F264B7" w14:textId="2B0EA0D7" w:rsidR="007B37D7" w:rsidRDefault="007B37D7" w:rsidP="007B37D7">
            <w:pPr>
              <w:spacing w:after="0" w:line="240" w:lineRule="auto"/>
              <w:rPr>
                <w:i/>
                <w:iCs/>
              </w:rPr>
            </w:pPr>
          </w:p>
          <w:p w14:paraId="0C78AD46" w14:textId="77777777" w:rsidR="007B37D7" w:rsidRPr="007B37D7" w:rsidRDefault="007B37D7" w:rsidP="007B37D7">
            <w:pPr>
              <w:spacing w:after="0" w:line="240" w:lineRule="auto"/>
              <w:rPr>
                <w:i/>
                <w:iCs/>
              </w:rPr>
            </w:pPr>
            <w:r w:rsidRPr="007B37D7">
              <w:rPr>
                <w:i/>
                <w:iCs/>
              </w:rPr>
              <w:t>The focus of the pupil premium strategy is to support disadvantaged pupils in achieving</w:t>
            </w:r>
          </w:p>
          <w:p w14:paraId="1A6FD2AE" w14:textId="578A82BD" w:rsidR="007B37D7" w:rsidRPr="007B37D7" w:rsidRDefault="007B37D7" w:rsidP="007B37D7">
            <w:pPr>
              <w:spacing w:after="0" w:line="240" w:lineRule="auto"/>
              <w:rPr>
                <w:i/>
                <w:iCs/>
              </w:rPr>
            </w:pPr>
            <w:r w:rsidRPr="007B37D7">
              <w:rPr>
                <w:i/>
                <w:iCs/>
              </w:rPr>
              <w:t xml:space="preserve">their potential, both academically and socially. </w:t>
            </w:r>
            <w:r>
              <w:rPr>
                <w:i/>
                <w:iCs/>
              </w:rPr>
              <w:t xml:space="preserve">Our intention is that all pupils, irrespective of their background or the challenges they face, are able to achieve and make good progress. </w:t>
            </w:r>
            <w:r w:rsidRPr="007B37D7">
              <w:rPr>
                <w:i/>
                <w:iCs/>
              </w:rPr>
              <w:t>Through this strategy we will identify the</w:t>
            </w:r>
            <w:r>
              <w:rPr>
                <w:i/>
                <w:iCs/>
              </w:rPr>
              <w:t xml:space="preserve"> </w:t>
            </w:r>
            <w:r w:rsidRPr="007B37D7">
              <w:rPr>
                <w:i/>
                <w:iCs/>
              </w:rPr>
              <w:t>barriers that vulnerable pupils face, including those with a social worker and young</w:t>
            </w:r>
            <w:r>
              <w:rPr>
                <w:i/>
                <w:iCs/>
              </w:rPr>
              <w:t xml:space="preserve"> </w:t>
            </w:r>
            <w:r w:rsidRPr="007B37D7">
              <w:rPr>
                <w:i/>
                <w:iCs/>
              </w:rPr>
              <w:t>carers, and we will outline the provision and support in place to meet their needs.</w:t>
            </w:r>
          </w:p>
          <w:p w14:paraId="4EF22105" w14:textId="77777777" w:rsidR="007B37D7" w:rsidRPr="007B37D7" w:rsidRDefault="007B37D7" w:rsidP="007B37D7">
            <w:pPr>
              <w:spacing w:after="0" w:line="240" w:lineRule="auto"/>
              <w:rPr>
                <w:i/>
                <w:iCs/>
              </w:rPr>
            </w:pPr>
            <w:r w:rsidRPr="007B37D7">
              <w:rPr>
                <w:i/>
                <w:iCs/>
              </w:rPr>
              <w:t>This strategy adopts a tiered approach with quality first teaching at its heart. Evidence</w:t>
            </w:r>
          </w:p>
          <w:p w14:paraId="39E9A56B" w14:textId="77777777" w:rsidR="007B37D7" w:rsidRPr="007B37D7" w:rsidRDefault="007B37D7" w:rsidP="007B37D7">
            <w:pPr>
              <w:spacing w:after="0" w:line="240" w:lineRule="auto"/>
              <w:rPr>
                <w:i/>
                <w:iCs/>
              </w:rPr>
            </w:pPr>
            <w:r w:rsidRPr="007B37D7">
              <w:rPr>
                <w:i/>
                <w:iCs/>
              </w:rPr>
              <w:t>shows that ensuring every teacher is supported in delivering high-quality teaching is</w:t>
            </w:r>
          </w:p>
          <w:p w14:paraId="4DFD5B3D" w14:textId="3A70CE18" w:rsidR="007B37D7" w:rsidRPr="007B37D7" w:rsidRDefault="007B37D7" w:rsidP="007B37D7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proven to have the biggest impact on closing the disadvantage gap and at the same time will benefit the non-disadvantaged pupils too.</w:t>
            </w:r>
            <w:r w:rsidRPr="007B37D7">
              <w:rPr>
                <w:i/>
                <w:iCs/>
              </w:rPr>
              <w:t xml:space="preserve"> Our strategy also outlines specific intervention which will</w:t>
            </w:r>
          </w:p>
          <w:p w14:paraId="666BA18B" w14:textId="0AD74AD7" w:rsidR="007B37D7" w:rsidRPr="007B37D7" w:rsidRDefault="007B37D7" w:rsidP="007B37D7">
            <w:pPr>
              <w:spacing w:after="0" w:line="240" w:lineRule="auto"/>
              <w:rPr>
                <w:i/>
                <w:iCs/>
              </w:rPr>
            </w:pPr>
            <w:r w:rsidRPr="007B37D7">
              <w:rPr>
                <w:i/>
                <w:iCs/>
              </w:rPr>
              <w:t>be used in a targeted and timely manner, including plans for education recovery. Finally,</w:t>
            </w:r>
            <w:r>
              <w:rPr>
                <w:i/>
                <w:iCs/>
              </w:rPr>
              <w:t xml:space="preserve"> </w:t>
            </w:r>
            <w:r w:rsidRPr="007B37D7">
              <w:rPr>
                <w:i/>
                <w:iCs/>
              </w:rPr>
              <w:t>the strategy will summarise our wider opportunity approaches. It is proven that</w:t>
            </w:r>
          </w:p>
          <w:p w14:paraId="4A214B1B" w14:textId="77777777" w:rsidR="007B37D7" w:rsidRPr="007B37D7" w:rsidRDefault="007B37D7" w:rsidP="007B37D7">
            <w:pPr>
              <w:spacing w:after="0" w:line="240" w:lineRule="auto"/>
              <w:rPr>
                <w:i/>
                <w:iCs/>
              </w:rPr>
            </w:pPr>
            <w:r w:rsidRPr="007B37D7">
              <w:rPr>
                <w:i/>
                <w:iCs/>
              </w:rPr>
              <w:t>academic and pastoral strategies work in an inter-related way and that understanding</w:t>
            </w:r>
          </w:p>
          <w:p w14:paraId="7A4B1D14" w14:textId="77777777" w:rsidR="007B37D7" w:rsidRPr="007B37D7" w:rsidRDefault="007B37D7" w:rsidP="007B37D7">
            <w:pPr>
              <w:spacing w:after="0" w:line="240" w:lineRule="auto"/>
              <w:rPr>
                <w:i/>
                <w:iCs/>
              </w:rPr>
            </w:pPr>
            <w:r w:rsidRPr="007B37D7">
              <w:rPr>
                <w:i/>
                <w:iCs/>
              </w:rPr>
              <w:t>pupils social, emotional and wellbeing needs will lead to better educational outcomes.</w:t>
            </w:r>
          </w:p>
          <w:p w14:paraId="5112B284" w14:textId="77777777" w:rsidR="007B37D7" w:rsidRDefault="007B37D7" w:rsidP="007B37D7">
            <w:pPr>
              <w:spacing w:after="0" w:line="240" w:lineRule="auto"/>
              <w:rPr>
                <w:i/>
                <w:iCs/>
              </w:rPr>
            </w:pPr>
          </w:p>
          <w:p w14:paraId="2EA7730A" w14:textId="005ED4B4" w:rsidR="007B37D7" w:rsidRPr="007B37D7" w:rsidRDefault="007B37D7" w:rsidP="007B37D7">
            <w:pPr>
              <w:spacing w:after="0" w:line="240" w:lineRule="auto"/>
              <w:rPr>
                <w:i/>
                <w:iCs/>
              </w:rPr>
            </w:pPr>
            <w:r w:rsidRPr="007B37D7">
              <w:rPr>
                <w:i/>
                <w:iCs/>
              </w:rPr>
              <w:t>The key principles of this strategy are to;</w:t>
            </w:r>
          </w:p>
          <w:p w14:paraId="68F51A53" w14:textId="77777777" w:rsidR="007B37D7" w:rsidRPr="007B37D7" w:rsidRDefault="007B37D7" w:rsidP="007B37D7">
            <w:pPr>
              <w:spacing w:after="0" w:line="240" w:lineRule="auto"/>
              <w:rPr>
                <w:i/>
                <w:iCs/>
              </w:rPr>
            </w:pPr>
            <w:r w:rsidRPr="007B37D7">
              <w:rPr>
                <w:i/>
                <w:iCs/>
              </w:rPr>
              <w:t>-Ensure that all adults within school have the highest expectations of all pupils,</w:t>
            </w:r>
          </w:p>
          <w:p w14:paraId="1DFFDE3C" w14:textId="77777777" w:rsidR="007B37D7" w:rsidRPr="007B37D7" w:rsidRDefault="007B37D7" w:rsidP="007B37D7">
            <w:pPr>
              <w:spacing w:after="0" w:line="240" w:lineRule="auto"/>
              <w:rPr>
                <w:i/>
                <w:iCs/>
              </w:rPr>
            </w:pPr>
            <w:r w:rsidRPr="007B37D7">
              <w:rPr>
                <w:i/>
                <w:iCs/>
              </w:rPr>
              <w:t>regardless of their background.</w:t>
            </w:r>
          </w:p>
          <w:p w14:paraId="7BFD75D7" w14:textId="5557437A" w:rsidR="007B37D7" w:rsidRPr="007B37D7" w:rsidRDefault="007B37D7" w:rsidP="007B37D7">
            <w:pPr>
              <w:spacing w:after="0" w:line="240" w:lineRule="auto"/>
              <w:rPr>
                <w:i/>
                <w:iCs/>
              </w:rPr>
            </w:pPr>
            <w:r w:rsidRPr="007B37D7">
              <w:rPr>
                <w:i/>
                <w:iCs/>
              </w:rPr>
              <w:t>-Ensure that pupils are supported to achieve their best and that we act early to</w:t>
            </w:r>
          </w:p>
          <w:p w14:paraId="459EB556" w14:textId="77777777" w:rsidR="007B37D7" w:rsidRPr="007B37D7" w:rsidRDefault="007B37D7" w:rsidP="007B37D7">
            <w:pPr>
              <w:spacing w:after="0" w:line="240" w:lineRule="auto"/>
              <w:rPr>
                <w:i/>
                <w:iCs/>
              </w:rPr>
            </w:pPr>
            <w:r w:rsidRPr="007B37D7">
              <w:rPr>
                <w:i/>
                <w:iCs/>
              </w:rPr>
              <w:t>intervene at the point that need is identified.</w:t>
            </w:r>
          </w:p>
          <w:p w14:paraId="749F845F" w14:textId="7F68EB90" w:rsidR="007B37D7" w:rsidRPr="007B37D7" w:rsidRDefault="007B37D7" w:rsidP="007B37D7">
            <w:pPr>
              <w:spacing w:after="0" w:line="240" w:lineRule="auto"/>
              <w:rPr>
                <w:i/>
                <w:iCs/>
              </w:rPr>
            </w:pPr>
            <w:r w:rsidRPr="007B37D7">
              <w:rPr>
                <w:i/>
                <w:iCs/>
              </w:rPr>
              <w:t>-Support all pupils to interact positively with others and promote their self-belief and</w:t>
            </w:r>
          </w:p>
          <w:p w14:paraId="54E87C84" w14:textId="77777777" w:rsidR="00E66558" w:rsidRDefault="007B37D7" w:rsidP="007B37D7">
            <w:pPr>
              <w:spacing w:after="0" w:line="240" w:lineRule="auto"/>
              <w:rPr>
                <w:i/>
                <w:iCs/>
              </w:rPr>
            </w:pPr>
            <w:r w:rsidRPr="007B37D7">
              <w:rPr>
                <w:i/>
                <w:iCs/>
              </w:rPr>
              <w:t>confidence.</w:t>
            </w:r>
          </w:p>
          <w:p w14:paraId="2A7D54E9" w14:textId="442A2372" w:rsidR="007B37D7" w:rsidRPr="007B37D7" w:rsidRDefault="007B37D7" w:rsidP="007B37D7">
            <w:pPr>
              <w:spacing w:after="0" w:line="240" w:lineRule="auto"/>
              <w:rPr>
                <w:i/>
                <w:iCs/>
              </w:rPr>
            </w:pP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 w:rsidP="00AA355B">
      <w:r>
        <w:rPr>
          <w:bCs/>
        </w:rPr>
        <w:t>This details</w:t>
      </w:r>
      <w:r>
        <w:t xml:space="preserve"> the key</w:t>
      </w:r>
      <w:r>
        <w:rPr>
          <w:bCs/>
        </w:rPr>
        <w:t xml:space="preserve"> </w:t>
      </w:r>
      <w:r>
        <w:t xml:space="preserve">challenges to </w:t>
      </w:r>
      <w:r>
        <w:rPr>
          <w:bCs/>
        </w:rPr>
        <w:t>achievement that we have</w:t>
      </w:r>
      <w:r>
        <w:t xml:space="preserve"> identified among </w:t>
      </w:r>
      <w:r>
        <w:rPr>
          <w:bCs/>
        </w:rPr>
        <w:t>our</w:t>
      </w:r>
      <w: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451DB836" w:rsidR="00E66558" w:rsidRDefault="002C5422">
            <w:pPr>
              <w:pStyle w:val="TableRowCentered"/>
              <w:jc w:val="left"/>
            </w:pPr>
            <w:r>
              <w:rPr>
                <w:rFonts w:cs="Arial"/>
                <w:iCs/>
                <w:color w:val="auto"/>
                <w:lang w:val="en-US"/>
              </w:rPr>
              <w:t xml:space="preserve">Underdeveloped </w:t>
            </w:r>
            <w:r w:rsidR="00795F75">
              <w:rPr>
                <w:rFonts w:cs="Arial"/>
                <w:iCs/>
                <w:color w:val="auto"/>
                <w:lang w:val="en-US"/>
              </w:rPr>
              <w:t>oral language skills and vocabulary gaps</w:t>
            </w:r>
            <w:r w:rsidR="007C10B2">
              <w:rPr>
                <w:rFonts w:cs="Arial"/>
                <w:iCs/>
                <w:color w:val="auto"/>
                <w:lang w:val="en-US"/>
              </w:rPr>
              <w:t>.</w:t>
            </w:r>
          </w:p>
        </w:tc>
      </w:tr>
      <w:tr w:rsidR="00E66558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71EA0F23" w:rsidR="00E66558" w:rsidRPr="00795F75" w:rsidRDefault="007C10B2" w:rsidP="00795F75">
            <w:pPr>
              <w:spacing w:before="60" w:after="120" w:line="240" w:lineRule="auto"/>
              <w:ind w:left="57" w:right="57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Difficulties acquiring </w:t>
            </w:r>
            <w:r w:rsidR="00795F75">
              <w:rPr>
                <w:color w:val="auto"/>
                <w:lang w:val="en-US"/>
              </w:rPr>
              <w:t>phoni</w:t>
            </w:r>
            <w:r>
              <w:rPr>
                <w:color w:val="auto"/>
                <w:lang w:val="en-US"/>
              </w:rPr>
              <w:t>c skills which then</w:t>
            </w:r>
            <w:r w:rsidR="00795F75">
              <w:rPr>
                <w:color w:val="auto"/>
                <w:lang w:val="en-US"/>
              </w:rPr>
              <w:t xml:space="preserve"> negatively impacts their development as readers. </w:t>
            </w:r>
          </w:p>
        </w:tc>
      </w:tr>
      <w:tr w:rsidR="00E66558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245AC176" w:rsidR="00795F75" w:rsidRDefault="007C10B2" w:rsidP="00795F75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Attainment is below national average</w:t>
            </w:r>
          </w:p>
        </w:tc>
      </w:tr>
      <w:tr w:rsidR="007C10B2" w14:paraId="202D2C4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46EA" w14:textId="00098C66" w:rsidR="007C10B2" w:rsidRDefault="007C10B2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5A1F" w14:textId="2AB5E134" w:rsidR="007C10B2" w:rsidRDefault="007C10B2" w:rsidP="00795F75">
            <w:pPr>
              <w:pStyle w:val="TableRowCentered"/>
              <w:jc w:val="left"/>
              <w:rPr>
                <w:szCs w:val="22"/>
              </w:rPr>
            </w:pPr>
            <w:r>
              <w:rPr>
                <w:szCs w:val="22"/>
              </w:rPr>
              <w:t>Attendance</w:t>
            </w:r>
          </w:p>
        </w:tc>
      </w:tr>
      <w:tr w:rsidR="00E66558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4EAAEBD3" w:rsidR="00E66558" w:rsidRDefault="007C10B2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76C234CA" w:rsidR="00795F75" w:rsidRPr="00795F75" w:rsidRDefault="007C10B2" w:rsidP="00795F75">
            <w:pPr>
              <w:spacing w:before="60" w:line="240" w:lineRule="auto"/>
              <w:ind w:left="57" w:right="57"/>
              <w:rPr>
                <w:rFonts w:cs="Arial"/>
                <w:iCs/>
                <w:color w:val="auto"/>
                <w:lang w:val="en-US"/>
              </w:rPr>
            </w:pPr>
            <w:r>
              <w:rPr>
                <w:rFonts w:cs="Arial"/>
                <w:iCs/>
                <w:color w:val="auto"/>
                <w:lang w:val="en-US"/>
              </w:rPr>
              <w:t>S</w:t>
            </w:r>
            <w:r w:rsidR="00795F75">
              <w:rPr>
                <w:rFonts w:cs="Arial"/>
                <w:iCs/>
                <w:color w:val="auto"/>
                <w:lang w:val="en-US"/>
              </w:rPr>
              <w:t xml:space="preserve">ocial and emotional issues for many pupils </w:t>
            </w:r>
          </w:p>
        </w:tc>
      </w:tr>
      <w:tr w:rsidR="00E66558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5EEDD5BE" w:rsidR="00E66558" w:rsidRDefault="007C10B2">
            <w:pPr>
              <w:pStyle w:val="TableRow"/>
              <w:rPr>
                <w:sz w:val="22"/>
                <w:szCs w:val="22"/>
              </w:rPr>
            </w:pPr>
            <w:bookmarkStart w:id="14" w:name="_Toc443397160"/>
            <w:r>
              <w:rPr>
                <w:sz w:val="22"/>
                <w:szCs w:val="22"/>
              </w:rPr>
              <w:t>6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095887B4" w:rsidR="00E66558" w:rsidRPr="008F7293" w:rsidRDefault="007C10B2" w:rsidP="007C10B2">
            <w:pPr>
              <w:spacing w:before="60" w:after="120" w:line="240" w:lineRule="auto"/>
              <w:ind w:left="57" w:right="57"/>
              <w:rPr>
                <w:iCs/>
                <w:sz w:val="22"/>
                <w:lang w:val="en-US"/>
              </w:rPr>
            </w:pPr>
            <w:r>
              <w:rPr>
                <w:rFonts w:cs="Arial"/>
                <w:iCs/>
                <w:color w:val="auto"/>
                <w:lang w:val="en-US"/>
              </w:rPr>
              <w:t>Low aspirations and expectations</w:t>
            </w:r>
          </w:p>
        </w:tc>
      </w:tr>
      <w:tr w:rsidR="007C10B2" w14:paraId="30453563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9D86" w14:textId="6A1DF3B9" w:rsidR="007C10B2" w:rsidRDefault="007C10B2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2C325" w14:textId="0AE1904A" w:rsidR="007C10B2" w:rsidRDefault="007C10B2" w:rsidP="007C10B2">
            <w:pPr>
              <w:spacing w:before="60" w:after="120" w:line="240" w:lineRule="auto"/>
              <w:ind w:left="57" w:right="57"/>
              <w:rPr>
                <w:rFonts w:cs="Arial"/>
                <w:iCs/>
                <w:color w:val="auto"/>
                <w:lang w:val="en-US"/>
              </w:rPr>
            </w:pPr>
            <w:r>
              <w:rPr>
                <w:rFonts w:cs="Arial"/>
                <w:iCs/>
                <w:color w:val="auto"/>
                <w:lang w:val="en-US"/>
              </w:rPr>
              <w:t>Narrow life experiences</w:t>
            </w:r>
          </w:p>
        </w:tc>
      </w:tr>
      <w:tr w:rsidR="007C10B2" w14:paraId="17205DE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68C7" w14:textId="4FBFB4E5" w:rsidR="007C10B2" w:rsidRDefault="007C10B2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9002" w14:textId="708A6BDA" w:rsidR="007C10B2" w:rsidRDefault="007C10B2" w:rsidP="007C10B2">
            <w:pPr>
              <w:spacing w:before="60" w:after="120" w:line="240" w:lineRule="auto"/>
              <w:ind w:left="57" w:right="57"/>
              <w:rPr>
                <w:rFonts w:cs="Arial"/>
                <w:iCs/>
                <w:color w:val="auto"/>
                <w:lang w:val="en-US"/>
              </w:rPr>
            </w:pPr>
            <w:r>
              <w:rPr>
                <w:rFonts w:cs="Arial"/>
                <w:iCs/>
                <w:color w:val="auto"/>
                <w:lang w:val="en-US"/>
              </w:rPr>
              <w:t>Special Educational Needs and Disabilities.</w:t>
            </w:r>
          </w:p>
        </w:tc>
      </w:tr>
    </w:tbl>
    <w:p w14:paraId="2A7D54FF" w14:textId="77777777" w:rsidR="00E66558" w:rsidRDefault="009D71E8">
      <w:pPr>
        <w:pStyle w:val="Heading2"/>
        <w:spacing w:before="600"/>
      </w:pPr>
      <w:r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6"/>
        <w:gridCol w:w="6680"/>
      </w:tblGrid>
      <w:tr w:rsidR="00E66558" w14:paraId="2A7D5503" w14:textId="77777777" w:rsidTr="008F729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8F7293" w14:paraId="1677EC07" w14:textId="77777777" w:rsidTr="008F7293"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601F7" w14:textId="77777777" w:rsidR="008F7293" w:rsidRDefault="008F7293">
            <w:pPr>
              <w:pStyle w:val="TableRow"/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Improved oral language skills and vocabulary among disadvantaged pupils. </w:t>
            </w:r>
          </w:p>
        </w:tc>
        <w:tc>
          <w:tcPr>
            <w:tcW w:w="6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C711" w14:textId="77777777" w:rsidR="007C10B2" w:rsidRDefault="008F7293">
            <w:pPr>
              <w:spacing w:before="60" w:after="120" w:line="240" w:lineRule="auto"/>
              <w:ind w:left="57" w:right="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Assessments and observations indicate significantly improved oral language among disadvantaged pupils. </w:t>
            </w:r>
          </w:p>
          <w:p w14:paraId="14899AFD" w14:textId="77777777" w:rsidR="007C10B2" w:rsidRDefault="007C10B2">
            <w:pPr>
              <w:spacing w:before="60" w:after="120" w:line="240" w:lineRule="auto"/>
              <w:ind w:left="57" w:right="57"/>
              <w:rPr>
                <w:rFonts w:cs="Arial"/>
                <w:color w:val="auto"/>
              </w:rPr>
            </w:pPr>
          </w:p>
          <w:p w14:paraId="116623CB" w14:textId="23948A47" w:rsidR="008F7293" w:rsidRDefault="008F7293">
            <w:pPr>
              <w:spacing w:before="60" w:after="120" w:line="240" w:lineRule="auto"/>
              <w:ind w:left="57" w:right="57"/>
              <w:rPr>
                <w:rFonts w:cs="Arial"/>
                <w:color w:val="auto"/>
              </w:rPr>
            </w:pPr>
            <w:r>
              <w:rPr>
                <w:color w:val="auto"/>
              </w:rPr>
              <w:t>This is evident when triangulated with other sources of evidence, including engagement in lessons, book scrutiny and ongoing formative assessment.</w:t>
            </w:r>
          </w:p>
        </w:tc>
      </w:tr>
      <w:tr w:rsidR="008F7293" w14:paraId="629B1DB7" w14:textId="77777777" w:rsidTr="008F7293"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94C0" w14:textId="3517A3F7" w:rsidR="008F7293" w:rsidRDefault="007C10B2" w:rsidP="008F7293">
            <w:pPr>
              <w:pStyle w:val="TableRow"/>
              <w:spacing w:after="120"/>
              <w:ind w:left="29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Improved attainment among disadvantaged pupils. </w:t>
            </w:r>
          </w:p>
        </w:tc>
        <w:tc>
          <w:tcPr>
            <w:tcW w:w="6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86F3" w14:textId="77777777" w:rsidR="007C10B2" w:rsidRDefault="007C10B2" w:rsidP="008F7293">
            <w:pPr>
              <w:pStyle w:val="TableRowCentered"/>
              <w:spacing w:after="120"/>
              <w:jc w:val="left"/>
            </w:pPr>
            <w:r>
              <w:t xml:space="preserve">Daily/regular targeted intervention sessions for individuals and groups effectively support pupil’s achievement </w:t>
            </w:r>
          </w:p>
          <w:p w14:paraId="768174BF" w14:textId="77777777" w:rsidR="007C10B2" w:rsidRDefault="007C10B2" w:rsidP="008F7293">
            <w:pPr>
              <w:pStyle w:val="TableRowCentered"/>
              <w:spacing w:after="120"/>
              <w:jc w:val="left"/>
            </w:pPr>
          </w:p>
          <w:p w14:paraId="512E76E1" w14:textId="77777777" w:rsidR="007C10B2" w:rsidRDefault="007C10B2" w:rsidP="008F7293">
            <w:pPr>
              <w:pStyle w:val="TableRowCentered"/>
              <w:spacing w:after="120"/>
              <w:jc w:val="left"/>
            </w:pPr>
            <w:r>
              <w:t>Pupil’s needs identified at the early stages of development and able to access internal and external support</w:t>
            </w:r>
          </w:p>
          <w:p w14:paraId="7C346F84" w14:textId="77777777" w:rsidR="007C10B2" w:rsidRDefault="007C10B2" w:rsidP="008F7293">
            <w:pPr>
              <w:pStyle w:val="TableRowCentered"/>
              <w:spacing w:after="120"/>
              <w:jc w:val="left"/>
            </w:pPr>
          </w:p>
          <w:p w14:paraId="3EA532D0" w14:textId="7E9383CE" w:rsidR="007C10B2" w:rsidRDefault="007C10B2" w:rsidP="008F7293">
            <w:pPr>
              <w:pStyle w:val="TableRowCentered"/>
              <w:spacing w:after="120"/>
              <w:jc w:val="left"/>
              <w:rPr>
                <w:rFonts w:cs="Arial"/>
                <w:color w:val="auto"/>
                <w:lang w:eastAsia="en-US"/>
              </w:rPr>
            </w:pPr>
            <w:r>
              <w:t>Increased percentage of pupils working at or above age related expectations</w:t>
            </w:r>
          </w:p>
        </w:tc>
      </w:tr>
      <w:tr w:rsidR="008F7293" w14:paraId="27379F0C" w14:textId="77777777" w:rsidTr="008F7293"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FD12A" w14:textId="77777777" w:rsidR="008F7293" w:rsidRDefault="008F7293" w:rsidP="008F7293">
            <w:pPr>
              <w:pStyle w:val="TableRow"/>
              <w:ind w:left="29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To achieve and sustain improved attendance for all pupils, particularly our disadvantaged pupils.</w:t>
            </w:r>
          </w:p>
        </w:tc>
        <w:tc>
          <w:tcPr>
            <w:tcW w:w="6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B1E65" w14:textId="77777777" w:rsidR="00FB5E4C" w:rsidRDefault="00FB5E4C" w:rsidP="008F7293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Consistently good attendance (school target 96%)</w:t>
            </w:r>
          </w:p>
          <w:p w14:paraId="0F790FD0" w14:textId="77777777" w:rsidR="00FB5E4C" w:rsidRDefault="00FB5E4C" w:rsidP="008F7293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</w:p>
          <w:p w14:paraId="3387AA2D" w14:textId="77777777" w:rsidR="00FB5E4C" w:rsidRDefault="00FB5E4C" w:rsidP="00FB5E4C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Gap for PP attendance to have closed. </w:t>
            </w:r>
          </w:p>
          <w:p w14:paraId="24A9F563" w14:textId="7CAC5A55" w:rsidR="00FB5E4C" w:rsidRPr="00FB5E4C" w:rsidRDefault="00FB5E4C" w:rsidP="00FB5E4C">
            <w:pPr>
              <w:spacing w:before="60" w:after="120" w:line="240" w:lineRule="auto"/>
              <w:ind w:right="57"/>
              <w:rPr>
                <w:rFonts w:cs="Arial"/>
                <w:color w:val="auto"/>
              </w:rPr>
            </w:pPr>
          </w:p>
        </w:tc>
      </w:tr>
      <w:tr w:rsidR="00FB5E4C" w14:paraId="5F376688" w14:textId="77777777" w:rsidTr="008F7293"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6E4A" w14:textId="0F173821" w:rsidR="00FB5E4C" w:rsidRDefault="00FB5E4C" w:rsidP="00FB5E4C">
            <w:pPr>
              <w:pStyle w:val="TableRow"/>
              <w:ind w:left="29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To achieve and sustain improved wellbeing for all pupils in our school, particularly our disadvantaged pupils.</w:t>
            </w:r>
          </w:p>
        </w:tc>
        <w:tc>
          <w:tcPr>
            <w:tcW w:w="6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04A9" w14:textId="77777777" w:rsidR="00FB5E4C" w:rsidRDefault="00FB5E4C" w:rsidP="00FB5E4C">
            <w:pPr>
              <w:spacing w:before="60" w:after="60" w:line="240" w:lineRule="auto"/>
              <w:ind w:left="34" w:right="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Pupils are supported through whole class, group and 1:1 sessions. </w:t>
            </w:r>
          </w:p>
          <w:p w14:paraId="55AC837C" w14:textId="77777777" w:rsidR="00FB5E4C" w:rsidRDefault="00FB5E4C" w:rsidP="00FB5E4C">
            <w:pPr>
              <w:spacing w:before="60" w:after="60" w:line="240" w:lineRule="auto"/>
              <w:ind w:left="34" w:right="57"/>
              <w:rPr>
                <w:rFonts w:cs="Arial"/>
                <w:color w:val="auto"/>
              </w:rPr>
            </w:pPr>
          </w:p>
          <w:p w14:paraId="563D1FCF" w14:textId="77777777" w:rsidR="00FB5E4C" w:rsidRDefault="00FB5E4C" w:rsidP="00FB5E4C">
            <w:pPr>
              <w:spacing w:before="60" w:after="60" w:line="240" w:lineRule="auto"/>
              <w:ind w:left="34" w:right="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Pupils know strategies to help them manage their feelings and are able to self-regulate their emotions.</w:t>
            </w:r>
          </w:p>
          <w:p w14:paraId="01FA3A65" w14:textId="77777777" w:rsidR="00FB5E4C" w:rsidRDefault="00FB5E4C" w:rsidP="00FB5E4C">
            <w:pPr>
              <w:spacing w:before="60" w:after="60" w:line="240" w:lineRule="auto"/>
              <w:ind w:left="34" w:right="57"/>
              <w:rPr>
                <w:rFonts w:cs="Arial"/>
                <w:color w:val="auto"/>
              </w:rPr>
            </w:pPr>
          </w:p>
          <w:p w14:paraId="779EE145" w14:textId="77777777" w:rsidR="00FB5E4C" w:rsidRDefault="00FB5E4C" w:rsidP="00FB5E4C">
            <w:pPr>
              <w:spacing w:before="60" w:after="60" w:line="240" w:lineRule="auto"/>
              <w:ind w:left="34" w:right="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Where appropriate, intervention is offered to ensure that families are supported.</w:t>
            </w:r>
          </w:p>
          <w:p w14:paraId="25351732" w14:textId="77777777" w:rsidR="00FB5E4C" w:rsidRDefault="00FB5E4C" w:rsidP="00FB5E4C">
            <w:pPr>
              <w:spacing w:before="60" w:after="60" w:line="240" w:lineRule="auto"/>
              <w:ind w:left="34" w:right="57"/>
              <w:rPr>
                <w:rFonts w:cs="Arial"/>
                <w:color w:val="auto"/>
              </w:rPr>
            </w:pPr>
          </w:p>
          <w:p w14:paraId="1918C208" w14:textId="77777777" w:rsidR="00FB5E4C" w:rsidRDefault="00FB5E4C" w:rsidP="00FB5E4C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Thrive approach activities are used in each class and the Thrive practitioner is supporting needs across the school.</w:t>
            </w:r>
          </w:p>
          <w:p w14:paraId="06E6CC47" w14:textId="6C03B0E9" w:rsidR="00FB5E4C" w:rsidRDefault="00FB5E4C" w:rsidP="00FB5E4C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lastRenderedPageBreak/>
              <w:t>Extra-curricular activities provide more experiences for our pupils and help to support pupil confidence and well-being.</w:t>
            </w:r>
          </w:p>
        </w:tc>
      </w:tr>
      <w:tr w:rsidR="00FB5E4C" w14:paraId="32160D7C" w14:textId="77777777" w:rsidTr="008F7293"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B9B5" w14:textId="3D542790" w:rsidR="00FB5E4C" w:rsidRDefault="00FB5E4C" w:rsidP="00FB5E4C">
            <w:pPr>
              <w:pStyle w:val="TableRow"/>
              <w:ind w:left="29"/>
              <w:rPr>
                <w:rFonts w:cs="Arial"/>
                <w:color w:val="auto"/>
              </w:rPr>
            </w:pPr>
            <w:r>
              <w:lastRenderedPageBreak/>
              <w:t xml:space="preserve">Rigorous tracking and monitoring to ensure children who are not reaching their potential have been identified </w:t>
            </w:r>
          </w:p>
        </w:tc>
        <w:tc>
          <w:tcPr>
            <w:tcW w:w="6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B29F" w14:textId="77777777" w:rsidR="00FB5E4C" w:rsidRDefault="00FB5E4C" w:rsidP="00FB5E4C">
            <w:pPr>
              <w:spacing w:before="60" w:after="60" w:line="240" w:lineRule="auto"/>
              <w:ind w:left="34" w:right="57"/>
            </w:pPr>
            <w:r>
              <w:t>Robust tracking and monitoring</w:t>
            </w:r>
          </w:p>
          <w:p w14:paraId="5C307637" w14:textId="77777777" w:rsidR="00FB5E4C" w:rsidRDefault="00FB5E4C" w:rsidP="00FB5E4C">
            <w:pPr>
              <w:spacing w:before="60" w:after="60" w:line="240" w:lineRule="auto"/>
              <w:ind w:left="34" w:right="57"/>
            </w:pPr>
          </w:p>
          <w:p w14:paraId="494312DF" w14:textId="0DC0B120" w:rsidR="00FB5E4C" w:rsidRDefault="00FB5E4C" w:rsidP="00FB5E4C">
            <w:pPr>
              <w:spacing w:before="60" w:after="60" w:line="240" w:lineRule="auto"/>
              <w:ind w:left="34" w:right="57"/>
            </w:pPr>
            <w:r>
              <w:t xml:space="preserve">Appropriate intervention and support in place. The impact of these are regularly reviewed.  </w:t>
            </w:r>
          </w:p>
          <w:p w14:paraId="049288D4" w14:textId="77777777" w:rsidR="00FB5E4C" w:rsidRDefault="00FB5E4C" w:rsidP="00FB5E4C">
            <w:pPr>
              <w:spacing w:before="60" w:after="60" w:line="240" w:lineRule="auto"/>
              <w:ind w:left="34" w:right="57"/>
            </w:pPr>
          </w:p>
          <w:p w14:paraId="79A10A53" w14:textId="7CFF48B4" w:rsidR="00FB5E4C" w:rsidRDefault="00FB5E4C" w:rsidP="00FB5E4C">
            <w:pPr>
              <w:spacing w:before="60" w:after="60" w:line="240" w:lineRule="auto"/>
              <w:ind w:left="34" w:right="57"/>
              <w:rPr>
                <w:rFonts w:cs="Arial"/>
                <w:color w:val="auto"/>
              </w:rPr>
            </w:pPr>
            <w:r>
              <w:t>Pupil Progress meetings hold staff to account.</w:t>
            </w:r>
          </w:p>
        </w:tc>
      </w:tr>
    </w:tbl>
    <w:p w14:paraId="2A7D5512" w14:textId="7B489199" w:rsidR="00E66558" w:rsidRDefault="009D71E8">
      <w:pPr>
        <w:pStyle w:val="Heading2"/>
      </w:pPr>
      <w:r>
        <w:t>Activity in this academic year</w:t>
      </w:r>
    </w:p>
    <w:p w14:paraId="2A7D5513" w14:textId="603E7BD1" w:rsidR="00E66558" w:rsidRDefault="009D71E8">
      <w:pPr>
        <w:spacing w:after="480"/>
      </w:pPr>
      <w:r>
        <w:t>This details how we intend to spend our pupil premium (and recovery premium</w:t>
      </w:r>
      <w:r w:rsidR="00A112B5">
        <w:t>)</w:t>
      </w:r>
      <w:r>
        <w:t xml:space="preserve"> funding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100FCE88" w:rsidR="00E66558" w:rsidRDefault="009D71E8">
      <w:pPr>
        <w:pStyle w:val="Heading3"/>
      </w:pPr>
      <w:r>
        <w:t xml:space="preserve">Teaching </w:t>
      </w:r>
    </w:p>
    <w:p w14:paraId="2A7D5515" w14:textId="291B13CD" w:rsidR="00E66558" w:rsidRDefault="009D71E8">
      <w:r>
        <w:t xml:space="preserve">Budgeted cost: £ </w:t>
      </w:r>
      <w:r w:rsidR="00B2574D">
        <w:rPr>
          <w:i/>
          <w:iCs/>
        </w:rPr>
        <w:t>8</w:t>
      </w:r>
      <w:r w:rsidR="000C175A">
        <w:rPr>
          <w:i/>
          <w:iCs/>
        </w:rPr>
        <w:t>9</w:t>
      </w:r>
      <w:r w:rsidR="00B2574D">
        <w:rPr>
          <w:i/>
          <w:iCs/>
        </w:rPr>
        <w:t xml:space="preserve">, </w:t>
      </w:r>
      <w:r w:rsidR="000C175A">
        <w:rPr>
          <w:i/>
          <w:iCs/>
        </w:rPr>
        <w:t>40</w:t>
      </w:r>
      <w:r w:rsidR="00B2574D">
        <w:rPr>
          <w:i/>
          <w:iCs/>
        </w:rPr>
        <w:t>2</w:t>
      </w:r>
    </w:p>
    <w:tbl>
      <w:tblPr>
        <w:tblW w:w="537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7"/>
        <w:gridCol w:w="6375"/>
        <w:gridCol w:w="1659"/>
      </w:tblGrid>
      <w:tr w:rsidR="00002951" w14:paraId="2A7D5519" w14:textId="77777777" w:rsidTr="00B2574D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FB5E4C" w14:paraId="668A640B" w14:textId="77777777" w:rsidTr="00B2574D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CEAA" w14:textId="14C5751C" w:rsidR="00FB5E4C" w:rsidRDefault="00844C36">
            <w:pPr>
              <w:spacing w:before="60" w:line="240" w:lineRule="auto"/>
              <w:ind w:left="29" w:right="57"/>
              <w:rPr>
                <w:iCs/>
                <w:color w:val="auto"/>
                <w:lang w:val="en-US"/>
              </w:rPr>
            </w:pPr>
            <w:proofErr w:type="spellStart"/>
            <w:r>
              <w:rPr>
                <w:iCs/>
                <w:color w:val="auto"/>
                <w:lang w:val="en-US"/>
              </w:rPr>
              <w:t>Subsidising</w:t>
            </w:r>
            <w:proofErr w:type="spellEnd"/>
            <w:r>
              <w:rPr>
                <w:iCs/>
                <w:color w:val="auto"/>
                <w:lang w:val="en-US"/>
              </w:rPr>
              <w:t xml:space="preserve"> cost of Learning Mentor/Thrive Practitioner.</w:t>
            </w:r>
          </w:p>
        </w:tc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D043" w14:textId="76082349" w:rsidR="00FB5E4C" w:rsidRDefault="00844C36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r w:rsidRPr="00844C36">
              <w:rPr>
                <w:rFonts w:cs="Arial"/>
                <w:color w:val="auto"/>
              </w:rPr>
              <w:t xml:space="preserve">Evidence from </w:t>
            </w:r>
            <w:r>
              <w:rPr>
                <w:rFonts w:cs="Arial"/>
                <w:color w:val="auto"/>
              </w:rPr>
              <w:t xml:space="preserve">EEF </w:t>
            </w:r>
            <w:r w:rsidRPr="00844C36">
              <w:rPr>
                <w:rFonts w:cs="Arial"/>
                <w:color w:val="auto"/>
              </w:rPr>
              <w:t>suggests that effective parental engagement can lead to learning gains of +3 months over the course of a year.</w:t>
            </w:r>
          </w:p>
          <w:p w14:paraId="79A55A01" w14:textId="77777777" w:rsidR="00844C36" w:rsidRDefault="00844C36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</w:p>
          <w:p w14:paraId="0B1D30BA" w14:textId="0EA141BF" w:rsidR="00844C36" w:rsidRDefault="00000000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hyperlink r:id="rId7" w:history="1">
              <w:r w:rsidR="00844C36" w:rsidRPr="00A50A70">
                <w:rPr>
                  <w:rStyle w:val="Hyperlink"/>
                  <w:rFonts w:cs="Arial"/>
                </w:rPr>
                <w:t>https://educationendowmentfoundation.org.uk/education-evidence/guidance-reports/supporting-parents</w:t>
              </w:r>
            </w:hyperlink>
          </w:p>
          <w:p w14:paraId="6C5D3842" w14:textId="77777777" w:rsidR="00844C36" w:rsidRDefault="00844C36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</w:p>
          <w:p w14:paraId="055E5E23" w14:textId="77777777" w:rsidR="009862B3" w:rsidRDefault="009862B3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</w:p>
          <w:p w14:paraId="167EAE15" w14:textId="1E68AA9B" w:rsidR="009862B3" w:rsidRDefault="009862B3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Effective social and emotional learning can also support children to self-regulate and can lead to improved outcomes. </w:t>
            </w:r>
          </w:p>
          <w:p w14:paraId="3065B854" w14:textId="495D34F3" w:rsidR="009862B3" w:rsidRDefault="009862B3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</w:p>
          <w:p w14:paraId="17C51E3B" w14:textId="63DDF165" w:rsidR="009862B3" w:rsidRDefault="00000000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hyperlink r:id="rId8" w:history="1">
              <w:r w:rsidR="009862B3" w:rsidRPr="00A50A70">
                <w:rPr>
                  <w:rStyle w:val="Hyperlink"/>
                  <w:rFonts w:cs="Arial"/>
                </w:rPr>
                <w:t>https://educationendowmentfoundation.org.uk/education-evidence/guidance-reports/primary-sel</w:t>
              </w:r>
            </w:hyperlink>
          </w:p>
          <w:p w14:paraId="41802208" w14:textId="14E92A28" w:rsidR="009862B3" w:rsidRDefault="009862B3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65150" w14:textId="5E344D6B" w:rsidR="00FB5E4C" w:rsidRDefault="00844C36">
            <w:pPr>
              <w:spacing w:before="60" w:after="60" w:line="240" w:lineRule="auto"/>
              <w:ind w:left="57" w:right="57"/>
              <w:rPr>
                <w:color w:val="auto"/>
              </w:rPr>
            </w:pPr>
            <w:r>
              <w:rPr>
                <w:color w:val="auto"/>
              </w:rPr>
              <w:t>4 &amp; 5</w:t>
            </w:r>
          </w:p>
        </w:tc>
      </w:tr>
      <w:tr w:rsidR="00844C36" w14:paraId="6F6C20DA" w14:textId="77777777" w:rsidTr="00B2574D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A032" w14:textId="16911E5D" w:rsidR="00844C36" w:rsidRDefault="00844C36">
            <w:pPr>
              <w:spacing w:before="60" w:line="240" w:lineRule="auto"/>
              <w:ind w:left="29" w:right="57"/>
              <w:rPr>
                <w:iCs/>
                <w:color w:val="auto"/>
                <w:lang w:val="en-US"/>
              </w:rPr>
            </w:pPr>
            <w:proofErr w:type="spellStart"/>
            <w:r>
              <w:rPr>
                <w:iCs/>
                <w:color w:val="auto"/>
                <w:lang w:val="en-US"/>
              </w:rPr>
              <w:t>Subsidising</w:t>
            </w:r>
            <w:proofErr w:type="spellEnd"/>
            <w:r>
              <w:rPr>
                <w:iCs/>
                <w:color w:val="auto"/>
                <w:lang w:val="en-US"/>
              </w:rPr>
              <w:t xml:space="preserve"> cost of SENDCO/Mental Health Lead</w:t>
            </w:r>
          </w:p>
        </w:tc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7BAF" w14:textId="77777777" w:rsidR="00844C36" w:rsidRDefault="00844C36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r w:rsidRPr="00844C36">
              <w:rPr>
                <w:rFonts w:cs="Arial"/>
                <w:color w:val="auto"/>
              </w:rPr>
              <w:t>Pupils with Special Educational Needs and Disability (SEND) have the greatest need for excellent teaching and are entitled to provision that supports achievement at, and enjoyment of, school.</w:t>
            </w:r>
          </w:p>
          <w:p w14:paraId="296200BC" w14:textId="77777777" w:rsidR="00844C36" w:rsidRDefault="00844C36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</w:p>
          <w:p w14:paraId="35D0753E" w14:textId="5CC857DF" w:rsidR="00844C36" w:rsidRDefault="00000000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hyperlink r:id="rId9" w:history="1">
              <w:r w:rsidR="00844C36" w:rsidRPr="00A50A70">
                <w:rPr>
                  <w:rStyle w:val="Hyperlink"/>
                  <w:rFonts w:cs="Arial"/>
                </w:rPr>
                <w:t>https://educationendowmentfoundation.org.uk/education-evidence/guidance-reports/send</w:t>
              </w:r>
            </w:hyperlink>
          </w:p>
          <w:p w14:paraId="563889AF" w14:textId="1AD9EFC7" w:rsidR="00844C36" w:rsidRDefault="00844C36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6F183" w14:textId="1B8B25F3" w:rsidR="00844C36" w:rsidRDefault="00844C36">
            <w:pPr>
              <w:spacing w:before="60" w:after="60" w:line="240" w:lineRule="auto"/>
              <w:ind w:left="57" w:right="57"/>
              <w:rPr>
                <w:color w:val="auto"/>
              </w:rPr>
            </w:pPr>
            <w:r>
              <w:rPr>
                <w:color w:val="auto"/>
              </w:rPr>
              <w:t>1, 2, 3, 5 &amp; 8</w:t>
            </w:r>
          </w:p>
        </w:tc>
      </w:tr>
      <w:tr w:rsidR="00844C36" w14:paraId="37BC75C1" w14:textId="77777777" w:rsidTr="00B2574D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01ED" w14:textId="24A0A07F" w:rsidR="00844C36" w:rsidRDefault="00844C36">
            <w:pPr>
              <w:spacing w:before="60" w:line="240" w:lineRule="auto"/>
              <w:ind w:left="29" w:right="57"/>
              <w:rPr>
                <w:iCs/>
                <w:color w:val="auto"/>
                <w:lang w:val="en-US"/>
              </w:rPr>
            </w:pPr>
            <w:proofErr w:type="spellStart"/>
            <w:r>
              <w:rPr>
                <w:iCs/>
                <w:color w:val="auto"/>
                <w:lang w:val="en-US"/>
              </w:rPr>
              <w:lastRenderedPageBreak/>
              <w:t>Subsidising</w:t>
            </w:r>
            <w:proofErr w:type="spellEnd"/>
            <w:r>
              <w:rPr>
                <w:iCs/>
                <w:color w:val="auto"/>
                <w:lang w:val="en-US"/>
              </w:rPr>
              <w:t xml:space="preserve"> cost of Teaching Assistants to deliver interventions.</w:t>
            </w:r>
          </w:p>
        </w:tc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A369" w14:textId="77777777" w:rsidR="00844C36" w:rsidRDefault="00844C36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Research shows that effective deployment of Teaching Assistants can have a positive impact on pupil progress. </w:t>
            </w:r>
          </w:p>
          <w:p w14:paraId="423EB76D" w14:textId="77777777" w:rsidR="00844C36" w:rsidRDefault="00844C36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</w:p>
          <w:p w14:paraId="41C71A96" w14:textId="03A828FE" w:rsidR="00844C36" w:rsidRDefault="00000000" w:rsidP="005C7EB3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hyperlink r:id="rId10" w:history="1">
              <w:r w:rsidR="005C7EB3" w:rsidRPr="00A50A70">
                <w:rPr>
                  <w:rStyle w:val="Hyperlink"/>
                  <w:rFonts w:cs="Arial"/>
                </w:rPr>
                <w:t>https://educationendowmentfoundation.org.uk/education-evidence/teaching-learning-toolkit/teaching-assistant-interventions</w:t>
              </w:r>
            </w:hyperlink>
          </w:p>
          <w:p w14:paraId="30A6C9A0" w14:textId="6047E91E" w:rsidR="005C7EB3" w:rsidRDefault="005C7EB3" w:rsidP="005C7EB3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1C197" w14:textId="53EB0BAE" w:rsidR="00844C36" w:rsidRDefault="00844C36">
            <w:pPr>
              <w:spacing w:before="60" w:after="60" w:line="240" w:lineRule="auto"/>
              <w:ind w:left="57" w:right="57"/>
              <w:rPr>
                <w:color w:val="auto"/>
              </w:rPr>
            </w:pPr>
            <w:r>
              <w:rPr>
                <w:color w:val="auto"/>
              </w:rPr>
              <w:t>1, 2 &amp; 3</w:t>
            </w:r>
          </w:p>
        </w:tc>
      </w:tr>
      <w:tr w:rsidR="00002951" w14:paraId="69E1CC33" w14:textId="2F8D05BD" w:rsidTr="00B2574D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4FB78" w14:textId="77777777" w:rsidR="00FD4495" w:rsidRDefault="00FD4495">
            <w:pPr>
              <w:spacing w:before="60" w:line="240" w:lineRule="auto"/>
              <w:ind w:left="29" w:right="57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 xml:space="preserve">Embedding dialogic activities across the school curriculum. These can support pupils to articulate key ideas, consolidate understanding and extend vocabulary. </w:t>
            </w:r>
          </w:p>
          <w:p w14:paraId="3879170D" w14:textId="77777777" w:rsidR="00FD4495" w:rsidRDefault="00FD4495">
            <w:pPr>
              <w:spacing w:before="60" w:after="120" w:line="240" w:lineRule="auto"/>
              <w:ind w:left="57" w:right="57"/>
              <w:rPr>
                <w:color w:val="auto"/>
              </w:rPr>
            </w:pPr>
          </w:p>
          <w:p w14:paraId="52D7130C" w14:textId="1A548B84" w:rsidR="00FD4495" w:rsidRDefault="00FD4495">
            <w:pPr>
              <w:spacing w:before="60" w:after="120" w:line="240" w:lineRule="auto"/>
              <w:ind w:left="57" w:right="57"/>
              <w:rPr>
                <w:color w:val="auto"/>
              </w:rPr>
            </w:pPr>
            <w:r>
              <w:rPr>
                <w:color w:val="auto"/>
              </w:rPr>
              <w:t>We will purchase resources and fund ongoing teacher training and release time particularly in the EYFS.</w:t>
            </w:r>
          </w:p>
          <w:p w14:paraId="1E45BFD0" w14:textId="77777777" w:rsidR="00FD4495" w:rsidRDefault="00FD4495">
            <w:pPr>
              <w:spacing w:before="60" w:after="120" w:line="240" w:lineRule="auto"/>
              <w:ind w:left="57" w:right="57"/>
              <w:rPr>
                <w:color w:val="auto"/>
              </w:rPr>
            </w:pPr>
          </w:p>
          <w:p w14:paraId="1FDFEDA8" w14:textId="61F2257C" w:rsidR="00FD4495" w:rsidRDefault="00FD4495">
            <w:pPr>
              <w:spacing w:before="60" w:after="120" w:line="240" w:lineRule="auto"/>
              <w:ind w:left="57" w:right="57"/>
              <w:rPr>
                <w:color w:val="auto"/>
              </w:rPr>
            </w:pPr>
          </w:p>
        </w:tc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D0F4F" w14:textId="77777777" w:rsidR="00FD4495" w:rsidRDefault="00FD4495">
            <w:pPr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There is a strong evidence base that suggests oral language interventions, including dialogic activities such as high-quality classroom discussion, are inexpensive to implement with high impacts on reading:</w:t>
            </w:r>
          </w:p>
          <w:p w14:paraId="46313C44" w14:textId="77777777" w:rsidR="00FD4495" w:rsidRDefault="00000000">
            <w:pPr>
              <w:spacing w:before="60" w:after="60" w:line="240" w:lineRule="auto"/>
              <w:ind w:left="57" w:right="57"/>
              <w:rPr>
                <w:color w:val="auto"/>
              </w:rPr>
            </w:pPr>
            <w:hyperlink r:id="rId11" w:history="1">
              <w:r w:rsidR="00FD4495">
                <w:rPr>
                  <w:rStyle w:val="Hyperlink"/>
                  <w:rFonts w:cs="Arial"/>
                  <w:color w:val="0070C0"/>
                </w:rPr>
                <w:t>Oral language interventions | Toolkit Strand | Education Endowment Foundation | EEF</w:t>
              </w:r>
            </w:hyperlink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1F209" w14:textId="2673C6E6" w:rsidR="00FD4495" w:rsidRDefault="00FD4495">
            <w:pPr>
              <w:spacing w:before="60" w:after="60" w:line="240" w:lineRule="auto"/>
              <w:ind w:left="57" w:right="57"/>
              <w:rPr>
                <w:color w:val="auto"/>
              </w:rPr>
            </w:pPr>
            <w:r>
              <w:rPr>
                <w:color w:val="auto"/>
              </w:rPr>
              <w:t>1, 2 &amp; 3</w:t>
            </w:r>
          </w:p>
        </w:tc>
      </w:tr>
      <w:tr w:rsidR="00002951" w14:paraId="2A7D551D" w14:textId="77777777" w:rsidTr="00B2574D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B66EC" w14:textId="77777777" w:rsidR="00FB5E4C" w:rsidRDefault="002D0D15">
            <w:pPr>
              <w:pStyle w:val="TableRow"/>
              <w:rPr>
                <w:color w:val="auto"/>
              </w:rPr>
            </w:pPr>
            <w:r w:rsidRPr="00FD4495">
              <w:rPr>
                <w:i/>
                <w:iCs/>
              </w:rPr>
              <w:t>To use Read, Write Inc as a whole school strategy to accelerate progress in phonics and Reading.</w:t>
            </w:r>
            <w:r w:rsidR="00FB5E4C">
              <w:rPr>
                <w:color w:val="auto"/>
              </w:rPr>
              <w:t xml:space="preserve"> </w:t>
            </w:r>
          </w:p>
          <w:p w14:paraId="26983099" w14:textId="77777777" w:rsidR="00FB5E4C" w:rsidRDefault="00FB5E4C">
            <w:pPr>
              <w:pStyle w:val="TableRow"/>
              <w:rPr>
                <w:color w:val="auto"/>
              </w:rPr>
            </w:pPr>
          </w:p>
          <w:p w14:paraId="2A7D551A" w14:textId="3C085456" w:rsidR="00E66558" w:rsidRPr="00FD4495" w:rsidRDefault="00FB5E4C">
            <w:pPr>
              <w:pStyle w:val="TableRow"/>
              <w:rPr>
                <w:i/>
                <w:iCs/>
              </w:rPr>
            </w:pPr>
            <w:r>
              <w:rPr>
                <w:color w:val="auto"/>
              </w:rPr>
              <w:t>Review the Reading Spine and purchase equality texts to implement to ensure exposure to high-quality texts.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15F9" w14:textId="1524E7D4" w:rsidR="002D0D15" w:rsidRPr="00FD4495" w:rsidRDefault="002D0D15" w:rsidP="002D0D15">
            <w:pPr>
              <w:pStyle w:val="TableRowCentered"/>
              <w:jc w:val="left"/>
              <w:rPr>
                <w:rFonts w:cs="Arial"/>
                <w:i/>
                <w:iCs/>
                <w:color w:val="auto"/>
                <w:szCs w:val="24"/>
              </w:rPr>
            </w:pPr>
            <w:r w:rsidRPr="00FD4495">
              <w:rPr>
                <w:rFonts w:cs="Arial"/>
                <w:i/>
                <w:iCs/>
                <w:color w:val="auto"/>
                <w:szCs w:val="24"/>
              </w:rPr>
              <w:t xml:space="preserve">Systematic synthetic phonic approaches have a strong evidence base that indicate a positive impact on the accuracy of word reading, particularly for disadvantaged pupils: </w:t>
            </w:r>
          </w:p>
          <w:p w14:paraId="2A7D551B" w14:textId="3B159F20" w:rsidR="00E66558" w:rsidRPr="00FD4495" w:rsidRDefault="00000000" w:rsidP="002D0D15">
            <w:pPr>
              <w:pStyle w:val="TableRowCentered"/>
              <w:jc w:val="left"/>
              <w:rPr>
                <w:i/>
                <w:iCs/>
                <w:szCs w:val="24"/>
              </w:rPr>
            </w:pPr>
            <w:hyperlink r:id="rId12" w:history="1">
              <w:r w:rsidR="002D0D15" w:rsidRPr="00FD4495">
                <w:rPr>
                  <w:rStyle w:val="Hyperlink"/>
                  <w:i/>
                  <w:iCs/>
                  <w:color w:val="0070C0"/>
                  <w:szCs w:val="24"/>
                </w:rPr>
                <w:t>Phonics | Toolkit Strand | Education Endowment Foundation | EEF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0EE4DCD0" w:rsidR="00E66558" w:rsidRDefault="002D0D15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 &amp; 3</w:t>
            </w:r>
          </w:p>
        </w:tc>
      </w:tr>
      <w:tr w:rsidR="00002951" w14:paraId="7DA504F0" w14:textId="77777777" w:rsidTr="00B2574D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5B66" w14:textId="5195D775" w:rsidR="002D0D15" w:rsidRPr="00FD4495" w:rsidRDefault="00FD4495" w:rsidP="002D0D15">
            <w:pPr>
              <w:pStyle w:val="TableRow"/>
              <w:rPr>
                <w:i/>
                <w:iCs/>
              </w:rPr>
            </w:pPr>
            <w:r w:rsidRPr="00FD4495">
              <w:rPr>
                <w:i/>
                <w:iCs/>
              </w:rPr>
              <w:lastRenderedPageBreak/>
              <w:t>Implement CPD to support staff in develop</w:t>
            </w:r>
            <w:r>
              <w:rPr>
                <w:i/>
                <w:iCs/>
              </w:rPr>
              <w:t>ing</w:t>
            </w:r>
            <w:r w:rsidRPr="00FD4495">
              <w:rPr>
                <w:i/>
                <w:iCs/>
              </w:rPr>
              <w:t xml:space="preserve"> the use of metacognitive skills.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89BA" w14:textId="5217AE4F" w:rsidR="00FD4495" w:rsidRDefault="00FD4495" w:rsidP="002D0D15">
            <w:pPr>
              <w:pStyle w:val="TableRowCentered"/>
              <w:jc w:val="left"/>
            </w:pPr>
            <w:r>
              <w:t xml:space="preserve">There is extensive evidence that shows that metacognitive strategies can improve outcomes for all pupils particularly disadvantaged. </w:t>
            </w:r>
          </w:p>
          <w:p w14:paraId="7186EE07" w14:textId="77777777" w:rsidR="00FD4495" w:rsidRDefault="00FD4495" w:rsidP="002D0D15">
            <w:pPr>
              <w:pStyle w:val="TableRowCentered"/>
              <w:jc w:val="left"/>
            </w:pPr>
          </w:p>
          <w:p w14:paraId="056C6545" w14:textId="3DB3A765" w:rsidR="002D0D15" w:rsidRPr="00FD4495" w:rsidRDefault="00FD4495" w:rsidP="002D0D15">
            <w:pPr>
              <w:pStyle w:val="TableRowCentered"/>
              <w:jc w:val="left"/>
              <w:rPr>
                <w:color w:val="365F91" w:themeColor="accent1" w:themeShade="BF"/>
                <w:u w:val="single"/>
              </w:rPr>
            </w:pPr>
            <w:r w:rsidRPr="00FD4495">
              <w:rPr>
                <w:color w:val="365F91" w:themeColor="accent1" w:themeShade="BF"/>
                <w:u w:val="single"/>
              </w:rPr>
              <w:t>Metacognition and Self-regulated Learning | EEF)</w:t>
            </w:r>
          </w:p>
          <w:p w14:paraId="4CD517AB" w14:textId="4C6979A4" w:rsidR="00FD4495" w:rsidRPr="00FD4495" w:rsidRDefault="00FD4495" w:rsidP="002D0D15">
            <w:pPr>
              <w:pStyle w:val="TableRowCentered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DD21" w14:textId="7A08142D" w:rsidR="002D0D15" w:rsidRDefault="002D0D15" w:rsidP="002D0D15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FD4495">
              <w:rPr>
                <w:sz w:val="22"/>
              </w:rPr>
              <w:t xml:space="preserve"> &amp; 3</w:t>
            </w:r>
          </w:p>
        </w:tc>
      </w:tr>
      <w:tr w:rsidR="00002951" w14:paraId="2A7D5521" w14:textId="77777777" w:rsidTr="00B2574D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73CC" w14:textId="668F451B" w:rsidR="00FD4495" w:rsidRDefault="00FD4495" w:rsidP="00FD4495">
            <w:pPr>
              <w:spacing w:before="60" w:after="120" w:line="240" w:lineRule="auto"/>
              <w:ind w:left="28" w:right="57"/>
              <w:rPr>
                <w:color w:val="auto"/>
              </w:rPr>
            </w:pPr>
            <w:r>
              <w:rPr>
                <w:color w:val="auto"/>
              </w:rPr>
              <w:t xml:space="preserve">Improve quality of teaching. </w:t>
            </w:r>
          </w:p>
          <w:p w14:paraId="215B0F4D" w14:textId="77777777" w:rsidR="002C5422" w:rsidRDefault="002C5422" w:rsidP="00FD4495">
            <w:pPr>
              <w:spacing w:before="60" w:after="120" w:line="240" w:lineRule="auto"/>
              <w:ind w:left="28" w:right="57"/>
              <w:rPr>
                <w:color w:val="auto"/>
              </w:rPr>
            </w:pPr>
          </w:p>
          <w:p w14:paraId="0541110F" w14:textId="09264B83" w:rsidR="00FD4495" w:rsidRDefault="00FD4495" w:rsidP="00FD4495">
            <w:pPr>
              <w:spacing w:before="60" w:after="120" w:line="240" w:lineRule="auto"/>
              <w:ind w:left="28" w:right="57"/>
              <w:rPr>
                <w:color w:val="auto"/>
              </w:rPr>
            </w:pPr>
            <w:r>
              <w:rPr>
                <w:color w:val="auto"/>
              </w:rPr>
              <w:t>We will fund CPD opportunities through the Gateway Alliance and other deliverers.</w:t>
            </w:r>
          </w:p>
          <w:p w14:paraId="2A7D551E" w14:textId="7004F145" w:rsidR="002D0D15" w:rsidRDefault="00FD4495" w:rsidP="002C5422">
            <w:pPr>
              <w:pStyle w:val="TableRow"/>
              <w:ind w:left="0"/>
              <w:rPr>
                <w:i/>
                <w:sz w:val="22"/>
              </w:rPr>
            </w:pPr>
            <w:r>
              <w:rPr>
                <w:color w:val="auto"/>
              </w:rPr>
              <w:t xml:space="preserve">We will </w:t>
            </w:r>
            <w:r w:rsidR="002C5422">
              <w:rPr>
                <w:color w:val="auto"/>
              </w:rPr>
              <w:t xml:space="preserve">also </w:t>
            </w:r>
            <w:r>
              <w:rPr>
                <w:color w:val="auto"/>
              </w:rPr>
              <w:t xml:space="preserve">fund teacher release time to access Maths Hub resources and CPD </w:t>
            </w:r>
            <w:r w:rsidR="002C5422">
              <w:rPr>
                <w:color w:val="auto"/>
              </w:rPr>
              <w:t>and to allow for subject leader release time so that they can lead on the development of initiatives.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B4DE" w14:textId="77777777" w:rsidR="002C5422" w:rsidRDefault="002C5422" w:rsidP="00FD4495">
            <w:pPr>
              <w:spacing w:before="60" w:after="60" w:line="240" w:lineRule="auto"/>
              <w:ind w:left="57" w:right="57"/>
            </w:pPr>
            <w:r>
              <w:t xml:space="preserve">Evidence shows that high-quality teaching is the most important lever schools have to improve outcomes. </w:t>
            </w:r>
          </w:p>
          <w:p w14:paraId="06731C45" w14:textId="77777777" w:rsidR="002C5422" w:rsidRDefault="002C5422" w:rsidP="00FD4495">
            <w:pPr>
              <w:spacing w:before="60" w:after="60" w:line="240" w:lineRule="auto"/>
              <w:ind w:left="57" w:right="57"/>
              <w:rPr>
                <w:rFonts w:cs="Arial"/>
                <w:iCs/>
                <w:color w:val="auto"/>
              </w:rPr>
            </w:pPr>
          </w:p>
          <w:p w14:paraId="2E51752D" w14:textId="39FBEF9B" w:rsidR="002D0D15" w:rsidRDefault="00000000" w:rsidP="00FD4495">
            <w:pPr>
              <w:pStyle w:val="TableRowCentered"/>
              <w:jc w:val="left"/>
              <w:rPr>
                <w:sz w:val="22"/>
              </w:rPr>
            </w:pPr>
            <w:hyperlink r:id="rId13" w:history="1">
              <w:r w:rsidR="002C5422" w:rsidRPr="00092648">
                <w:rPr>
                  <w:rStyle w:val="Hyperlink"/>
                  <w:sz w:val="22"/>
                </w:rPr>
                <w:t>https://educationendowmentfoundation.org.uk/support-for-schools/school-planning-support/1-high-quality-teaching</w:t>
              </w:r>
            </w:hyperlink>
          </w:p>
          <w:p w14:paraId="2A7D551F" w14:textId="61FC7CED" w:rsidR="002C5422" w:rsidRDefault="002C5422" w:rsidP="00FD4495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25775A0D" w:rsidR="002D0D15" w:rsidRDefault="002C5422" w:rsidP="002D0D15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02951" w14:paraId="5A3EA47A" w14:textId="77777777" w:rsidTr="00B2574D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B5AF" w14:textId="2E5AC445" w:rsidR="00FD4495" w:rsidRDefault="002C5422" w:rsidP="00FD4495">
            <w:pPr>
              <w:spacing w:before="60" w:after="120" w:line="240" w:lineRule="auto"/>
              <w:ind w:left="28" w:right="57"/>
              <w:rPr>
                <w:color w:val="auto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Training for staff to ensure assessments are interpreted and administered correctly.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649C" w14:textId="34BCF2AD" w:rsidR="002C5422" w:rsidRDefault="002C5422" w:rsidP="002C5422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Accurate assessments can provide reliable insights into the specific strengths and weaknesses of each pupil to help ensure they receive the correct additional support through interventions or teacher instruction:</w:t>
            </w:r>
          </w:p>
          <w:p w14:paraId="3226E067" w14:textId="1F438FB6" w:rsidR="00FD4495" w:rsidRDefault="00000000" w:rsidP="002C5422">
            <w:pPr>
              <w:spacing w:before="60" w:after="60" w:line="240" w:lineRule="auto"/>
              <w:ind w:left="57" w:right="57"/>
              <w:rPr>
                <w:rFonts w:cs="Arial"/>
                <w:iCs/>
                <w:color w:val="auto"/>
              </w:rPr>
            </w:pPr>
            <w:hyperlink r:id="rId14" w:history="1">
              <w:r w:rsidR="002C5422">
                <w:rPr>
                  <w:rStyle w:val="Hyperlink"/>
                  <w:color w:val="0070C0"/>
                </w:rPr>
                <w:t>Standardised tests | Assessing and Monitoring Pupil Progress | Education Endowment Foundation | EEF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A391" w14:textId="0043B0AE" w:rsidR="00FD4495" w:rsidRDefault="002C5422" w:rsidP="002D0D15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 &amp; 3</w:t>
            </w:r>
          </w:p>
        </w:tc>
      </w:tr>
    </w:tbl>
    <w:p w14:paraId="2A7D5522" w14:textId="77777777" w:rsidR="00E66558" w:rsidRDefault="00E66558" w:rsidP="00ED5108"/>
    <w:p w14:paraId="2A7D5523" w14:textId="1636E7DB" w:rsidR="00E66558" w:rsidRPr="00AA355B" w:rsidRDefault="009D71E8" w:rsidP="00AA355B">
      <w:pPr>
        <w:pStyle w:val="Heading3"/>
      </w:pPr>
      <w:r>
        <w:t xml:space="preserve">Targeted academic support  </w:t>
      </w:r>
    </w:p>
    <w:p w14:paraId="2A7D5524" w14:textId="3B40FE6B" w:rsidR="00E66558" w:rsidRDefault="009D71E8">
      <w:r>
        <w:t xml:space="preserve">Budgeted cost: £ </w:t>
      </w:r>
      <w:r w:rsidR="00B2574D">
        <w:rPr>
          <w:i/>
          <w:iCs/>
        </w:rPr>
        <w:t>1600</w:t>
      </w:r>
    </w:p>
    <w:tbl>
      <w:tblPr>
        <w:tblW w:w="53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5103"/>
        <w:gridCol w:w="1702"/>
      </w:tblGrid>
      <w:tr w:rsidR="00E66558" w14:paraId="2A7D5528" w14:textId="77777777" w:rsidTr="0000295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2C" w14:textId="77777777" w:rsidTr="0000295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C5A5" w14:textId="77777777" w:rsidR="00E66558" w:rsidRDefault="009862B3">
            <w:pPr>
              <w:pStyle w:val="TableRow"/>
            </w:pPr>
            <w:r>
              <w:t xml:space="preserve">The most successful interventions are used to address gaps in learning – </w:t>
            </w:r>
            <w:r>
              <w:lastRenderedPageBreak/>
              <w:t xml:space="preserve">over-learning, familiar reads, fast learning. </w:t>
            </w:r>
          </w:p>
          <w:p w14:paraId="38EE1979" w14:textId="77777777" w:rsidR="009862B3" w:rsidRDefault="009862B3">
            <w:pPr>
              <w:pStyle w:val="TableRow"/>
            </w:pPr>
          </w:p>
          <w:p w14:paraId="2A7D5529" w14:textId="5DD2E314" w:rsidR="009862B3" w:rsidRDefault="009862B3">
            <w:pPr>
              <w:pStyle w:val="TableRow"/>
            </w:pPr>
            <w:r>
              <w:t>Staff receive CPD to support the delivery of these interventions.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6D92" w14:textId="77777777" w:rsidR="00E66558" w:rsidRDefault="009862B3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Research shows that over-learning of keys skills improves children’s ability to retain knowledge. </w:t>
            </w:r>
          </w:p>
          <w:p w14:paraId="3978915F" w14:textId="77777777" w:rsidR="009862B3" w:rsidRDefault="009862B3">
            <w:pPr>
              <w:pStyle w:val="TableRowCentered"/>
              <w:jc w:val="left"/>
              <w:rPr>
                <w:sz w:val="22"/>
              </w:rPr>
            </w:pPr>
          </w:p>
          <w:p w14:paraId="1B632E4A" w14:textId="36085C9E" w:rsidR="009862B3" w:rsidRDefault="00000000">
            <w:pPr>
              <w:pStyle w:val="TableRowCentered"/>
              <w:jc w:val="left"/>
              <w:rPr>
                <w:sz w:val="22"/>
              </w:rPr>
            </w:pPr>
            <w:hyperlink r:id="rId15" w:history="1">
              <w:r w:rsidR="009862B3" w:rsidRPr="00A50A70">
                <w:rPr>
                  <w:rStyle w:val="Hyperlink"/>
                  <w:sz w:val="22"/>
                </w:rPr>
                <w:t>https://www.sec-ed.co.uk/best-practice/teaching-interventions-pre-and-over-learning/</w:t>
              </w:r>
            </w:hyperlink>
          </w:p>
          <w:p w14:paraId="2A7D552A" w14:textId="16B791DB" w:rsidR="009862B3" w:rsidRDefault="009862B3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05BC95D2" w:rsidR="00E66558" w:rsidRDefault="009862B3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1, 2, 3 &amp; 8</w:t>
            </w:r>
          </w:p>
        </w:tc>
      </w:tr>
    </w:tbl>
    <w:p w14:paraId="2A7D5531" w14:textId="77777777" w:rsidR="00E66558" w:rsidRDefault="00E66558" w:rsidP="00AA355B"/>
    <w:p w14:paraId="2A7D5532" w14:textId="4E57F986" w:rsidR="00E66558" w:rsidRPr="00AA355B" w:rsidRDefault="009D71E8" w:rsidP="00AA355B">
      <w:pPr>
        <w:pStyle w:val="Heading3"/>
      </w:pPr>
      <w:r>
        <w:t xml:space="preserve">Wider strategies </w:t>
      </w:r>
    </w:p>
    <w:p w14:paraId="2A7D5533" w14:textId="30674534" w:rsidR="00E66558" w:rsidRDefault="009D71E8">
      <w:pPr>
        <w:spacing w:before="240" w:after="120"/>
      </w:pPr>
      <w:r>
        <w:t xml:space="preserve">Budgeted cost: £ </w:t>
      </w:r>
      <w:r w:rsidR="000C175A">
        <w:rPr>
          <w:i/>
          <w:iCs/>
        </w:rPr>
        <w:t>12,336</w:t>
      </w:r>
    </w:p>
    <w:tbl>
      <w:tblPr>
        <w:tblW w:w="537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4"/>
        <w:gridCol w:w="5675"/>
        <w:gridCol w:w="1842"/>
      </w:tblGrid>
      <w:tr w:rsidR="00E66558" w14:paraId="2A7D5537" w14:textId="77777777" w:rsidTr="00002951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002951" w14:paraId="268F827F" w14:textId="77777777" w:rsidTr="00002951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DA13" w14:textId="77777777" w:rsidR="00002951" w:rsidRDefault="00002951" w:rsidP="00002951">
            <w:pPr>
              <w:pStyle w:val="TableRow"/>
              <w:ind w:left="0"/>
            </w:pPr>
            <w:r w:rsidRPr="00002951">
              <w:t>Develop the wider opportunities offered to children</w:t>
            </w:r>
            <w:r>
              <w:t>:</w:t>
            </w:r>
          </w:p>
          <w:p w14:paraId="16A341A6" w14:textId="77777777" w:rsidR="00002951" w:rsidRDefault="00002951" w:rsidP="00002951">
            <w:pPr>
              <w:pStyle w:val="TableRow"/>
              <w:ind w:left="0"/>
            </w:pPr>
            <w:r>
              <w:t>-After-school clubs</w:t>
            </w:r>
          </w:p>
          <w:p w14:paraId="48B5BFA1" w14:textId="77777777" w:rsidR="00002951" w:rsidRDefault="00002951" w:rsidP="00002951">
            <w:pPr>
              <w:pStyle w:val="TableRow"/>
              <w:ind w:left="0"/>
            </w:pPr>
            <w:r>
              <w:t>-Trips etc</w:t>
            </w:r>
          </w:p>
          <w:p w14:paraId="3A8DEEDC" w14:textId="77777777" w:rsidR="005C7EB3" w:rsidRDefault="005C7EB3" w:rsidP="00002951">
            <w:pPr>
              <w:pStyle w:val="TableRow"/>
              <w:ind w:left="0"/>
            </w:pPr>
          </w:p>
          <w:p w14:paraId="03501354" w14:textId="4EC02437" w:rsidR="005C7EB3" w:rsidRDefault="005C7EB3" w:rsidP="00002951">
            <w:pPr>
              <w:pStyle w:val="TableRow"/>
              <w:ind w:left="0"/>
            </w:pPr>
            <w:r>
              <w:t>Develop the grounds of the school to enable outdoor provision to enhance learning</w:t>
            </w:r>
            <w:r w:rsidR="00AF2D3F">
              <w:t xml:space="preserve"> and further promote the teaching of the </w:t>
            </w:r>
            <w:proofErr w:type="spellStart"/>
            <w:r w:rsidR="00AF2D3F">
              <w:t>Arley</w:t>
            </w:r>
            <w:proofErr w:type="spellEnd"/>
            <w:r w:rsidR="00AF2D3F">
              <w:t xml:space="preserve"> 8 values.</w:t>
            </w:r>
          </w:p>
          <w:p w14:paraId="1EDAED40" w14:textId="77777777" w:rsidR="005C7EB3" w:rsidRDefault="005C7EB3" w:rsidP="00002951">
            <w:pPr>
              <w:pStyle w:val="TableRow"/>
              <w:ind w:left="0"/>
            </w:pPr>
            <w:r>
              <w:t>-Len’s Learning Garden</w:t>
            </w:r>
          </w:p>
          <w:p w14:paraId="436FB806" w14:textId="5B40EF3B" w:rsidR="005C7EB3" w:rsidRPr="00002951" w:rsidRDefault="005C7EB3" w:rsidP="00002951">
            <w:pPr>
              <w:pStyle w:val="TableRow"/>
              <w:ind w:left="0"/>
            </w:pPr>
            <w:r>
              <w:t>-Links with Warwickshire Wildlife Trust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4C9A" w14:textId="77777777" w:rsidR="00002951" w:rsidRDefault="00002951" w:rsidP="00002951">
            <w:pPr>
              <w:pStyle w:val="TableRowCentered"/>
              <w:jc w:val="left"/>
            </w:pPr>
            <w:r>
              <w:t xml:space="preserve">Arts participation and involvement in extracurricular activities has led to improved outcomes. Wider benefits such as more positive attitudes to learning, health benefits and increased well-being have also consistently been reported. </w:t>
            </w:r>
          </w:p>
          <w:p w14:paraId="5927028D" w14:textId="77777777" w:rsidR="00002951" w:rsidRDefault="00002951" w:rsidP="00002951">
            <w:pPr>
              <w:pStyle w:val="TableRowCentered"/>
              <w:jc w:val="left"/>
            </w:pPr>
          </w:p>
          <w:p w14:paraId="2FF3A283" w14:textId="4899CD43" w:rsidR="00002951" w:rsidRPr="00002951" w:rsidRDefault="00002951" w:rsidP="00002951">
            <w:pPr>
              <w:pStyle w:val="TableRowCentered"/>
              <w:jc w:val="left"/>
              <w:rPr>
                <w:szCs w:val="24"/>
                <w:u w:val="single"/>
              </w:rPr>
            </w:pPr>
            <w:r w:rsidRPr="00002951">
              <w:rPr>
                <w:color w:val="365F91" w:themeColor="accent1" w:themeShade="BF"/>
                <w:u w:val="single"/>
              </w:rPr>
              <w:t xml:space="preserve">Physical activity | EEF (educationendowmentfoundation.org.uk)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3762" w14:textId="3BC8F2CA" w:rsidR="00002951" w:rsidRPr="00002951" w:rsidRDefault="00002951">
            <w:pPr>
              <w:pStyle w:val="TableRowCentered"/>
              <w:jc w:val="left"/>
              <w:rPr>
                <w:szCs w:val="24"/>
              </w:rPr>
            </w:pPr>
            <w:r>
              <w:rPr>
                <w:szCs w:val="24"/>
              </w:rPr>
              <w:t>5, 6 &amp; 7</w:t>
            </w:r>
          </w:p>
        </w:tc>
      </w:tr>
      <w:tr w:rsidR="00002951" w14:paraId="74C43562" w14:textId="77777777" w:rsidTr="00002951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282F" w14:textId="77777777" w:rsidR="00002951" w:rsidRPr="00002951" w:rsidRDefault="00002951" w:rsidP="00002951">
            <w:pPr>
              <w:pStyle w:val="TableRow"/>
              <w:ind w:left="0"/>
            </w:pPr>
            <w:r w:rsidRPr="00002951">
              <w:t>Whole staff training on behaviour management with the aim of developing our school ethos and improving behaviour across school.</w:t>
            </w:r>
          </w:p>
          <w:p w14:paraId="6E688844" w14:textId="77777777" w:rsidR="00002951" w:rsidRPr="00002951" w:rsidRDefault="00002951" w:rsidP="00002951">
            <w:pPr>
              <w:pStyle w:val="TableRow"/>
              <w:ind w:left="0"/>
            </w:pPr>
          </w:p>
          <w:p w14:paraId="0E058128" w14:textId="5BBF63C5" w:rsidR="00002951" w:rsidRPr="00002951" w:rsidRDefault="00002951" w:rsidP="00002951">
            <w:pPr>
              <w:pStyle w:val="TableRow"/>
              <w:ind w:left="0"/>
            </w:pPr>
            <w:r w:rsidRPr="00002951">
              <w:t>Involvement in the Trauma-informed project to support and develop staff CPD and the implementation of relevant strategies.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82B9" w14:textId="77777777" w:rsidR="00002951" w:rsidRPr="00002951" w:rsidRDefault="00002951" w:rsidP="00002951">
            <w:pPr>
              <w:pStyle w:val="TableRowCentered"/>
              <w:jc w:val="left"/>
              <w:rPr>
                <w:szCs w:val="24"/>
              </w:rPr>
            </w:pPr>
            <w:r w:rsidRPr="00002951">
              <w:rPr>
                <w:szCs w:val="24"/>
              </w:rPr>
              <w:t>Both targeted interventions and universal approaches can have positive overall effects:</w:t>
            </w:r>
          </w:p>
          <w:p w14:paraId="06FBA69D" w14:textId="77777777" w:rsidR="00002951" w:rsidRPr="00002951" w:rsidRDefault="00000000" w:rsidP="00002951">
            <w:pPr>
              <w:pStyle w:val="TableRowCentered"/>
              <w:jc w:val="left"/>
              <w:rPr>
                <w:szCs w:val="24"/>
              </w:rPr>
            </w:pPr>
            <w:hyperlink r:id="rId16" w:history="1">
              <w:r w:rsidR="00002951" w:rsidRPr="00002951">
                <w:rPr>
                  <w:rStyle w:val="Hyperlink"/>
                  <w:szCs w:val="24"/>
                </w:rPr>
                <w:t>Behaviour interventions | EEF (educationendowmentfoundation.org.uk)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795F" w14:textId="1FA58616" w:rsidR="00002951" w:rsidRPr="00002951" w:rsidRDefault="00002951">
            <w:pPr>
              <w:pStyle w:val="TableRowCentered"/>
              <w:jc w:val="left"/>
              <w:rPr>
                <w:szCs w:val="24"/>
              </w:rPr>
            </w:pPr>
            <w:r w:rsidRPr="00002951">
              <w:rPr>
                <w:szCs w:val="24"/>
              </w:rPr>
              <w:t>5, 8</w:t>
            </w:r>
          </w:p>
        </w:tc>
      </w:tr>
      <w:tr w:rsidR="00002951" w14:paraId="2BC17E0B" w14:textId="77777777" w:rsidTr="00002951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E4D1" w14:textId="77777777" w:rsidR="00002951" w:rsidRPr="00002951" w:rsidRDefault="00002951" w:rsidP="00002951">
            <w:pPr>
              <w:pStyle w:val="TableRow"/>
              <w:ind w:left="0"/>
            </w:pPr>
            <w:r w:rsidRPr="00002951">
              <w:lastRenderedPageBreak/>
              <w:t xml:space="preserve">Embedding principles of good practice set out in the DfE’s </w:t>
            </w:r>
            <w:hyperlink r:id="rId17" w:history="1">
              <w:r w:rsidRPr="00002951">
                <w:rPr>
                  <w:rStyle w:val="Hyperlink"/>
                </w:rPr>
                <w:t>Improving School Attendance</w:t>
              </w:r>
            </w:hyperlink>
            <w:r w:rsidRPr="00002951">
              <w:t xml:space="preserve"> advice.</w:t>
            </w:r>
          </w:p>
          <w:p w14:paraId="49872665" w14:textId="77777777" w:rsidR="00002951" w:rsidRPr="00002951" w:rsidRDefault="00002951" w:rsidP="00002951">
            <w:pPr>
              <w:pStyle w:val="TableRow"/>
              <w:ind w:left="0"/>
            </w:pPr>
          </w:p>
          <w:p w14:paraId="2296F547" w14:textId="1035ED90" w:rsidR="00002951" w:rsidRPr="00002951" w:rsidRDefault="00002951" w:rsidP="00002951">
            <w:pPr>
              <w:pStyle w:val="TableRow"/>
              <w:ind w:left="0"/>
            </w:pPr>
            <w:r w:rsidRPr="00002951">
              <w:t>Improve tracking and monitoring of attendance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65FC" w14:textId="77777777" w:rsidR="00002951" w:rsidRPr="00002951" w:rsidRDefault="00002951">
            <w:pPr>
              <w:pStyle w:val="TableRowCentered"/>
              <w:jc w:val="left"/>
              <w:rPr>
                <w:szCs w:val="24"/>
              </w:rPr>
            </w:pPr>
            <w:r w:rsidRPr="00002951">
              <w:rPr>
                <w:szCs w:val="24"/>
              </w:rPr>
              <w:t xml:space="preserve">The DfE guidance has been informed by engagement with schools that have significantly reduced levels of absence and persistent absence.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2912" w14:textId="59AF039B" w:rsidR="00002951" w:rsidRPr="00002951" w:rsidRDefault="00002951">
            <w:pPr>
              <w:pStyle w:val="TableRowCentered"/>
              <w:jc w:val="left"/>
              <w:rPr>
                <w:szCs w:val="24"/>
              </w:rPr>
            </w:pPr>
            <w:r w:rsidRPr="00002951">
              <w:rPr>
                <w:szCs w:val="24"/>
              </w:rPr>
              <w:t>4</w:t>
            </w:r>
          </w:p>
        </w:tc>
      </w:tr>
      <w:tr w:rsidR="00002951" w14:paraId="6B2552FE" w14:textId="77777777" w:rsidTr="00002951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320E" w14:textId="77777777" w:rsidR="00002951" w:rsidRPr="00002951" w:rsidRDefault="00002951" w:rsidP="00002951">
            <w:pPr>
              <w:pStyle w:val="TableRow"/>
              <w:ind w:left="0"/>
            </w:pPr>
            <w:r w:rsidRPr="00002951">
              <w:t>Contingency fund for acute issues.</w:t>
            </w:r>
          </w:p>
          <w:p w14:paraId="4A46168E" w14:textId="77777777" w:rsidR="00002951" w:rsidRPr="00002951" w:rsidRDefault="00002951" w:rsidP="00002951">
            <w:pPr>
              <w:pStyle w:val="TableRow"/>
              <w:ind w:left="0"/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2CC2" w14:textId="77777777" w:rsidR="00002951" w:rsidRPr="00002951" w:rsidRDefault="00002951" w:rsidP="00002951">
            <w:pPr>
              <w:pStyle w:val="TableRowCentered"/>
              <w:jc w:val="left"/>
              <w:rPr>
                <w:szCs w:val="24"/>
              </w:rPr>
            </w:pPr>
            <w:r w:rsidRPr="00002951">
              <w:rPr>
                <w:szCs w:val="24"/>
              </w:rPr>
              <w:t>Based on our experiences and those of similar schools to ours, we have identified a need to set a small amount of funding aside to respond quickly to needs that have not yet been identified.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1341" w14:textId="77777777" w:rsidR="00002951" w:rsidRPr="00002951" w:rsidRDefault="00002951">
            <w:pPr>
              <w:pStyle w:val="TableRowCentered"/>
              <w:jc w:val="left"/>
              <w:rPr>
                <w:szCs w:val="24"/>
              </w:rPr>
            </w:pPr>
            <w:r w:rsidRPr="00002951">
              <w:rPr>
                <w:szCs w:val="24"/>
              </w:rPr>
              <w:t>All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203D4306" w:rsidR="00E66558" w:rsidRDefault="009D71E8" w:rsidP="00120AB1">
      <w:r>
        <w:rPr>
          <w:b/>
          <w:bCs/>
          <w:color w:val="104F75"/>
          <w:sz w:val="28"/>
          <w:szCs w:val="28"/>
        </w:rPr>
        <w:t>Total budgeted cost: £</w:t>
      </w:r>
      <w:r w:rsidR="000C175A">
        <w:rPr>
          <w:b/>
          <w:bCs/>
          <w:color w:val="104F75"/>
          <w:sz w:val="28"/>
          <w:szCs w:val="28"/>
        </w:rPr>
        <w:t>103,338</w:t>
      </w:r>
    </w:p>
    <w:p w14:paraId="2A7D5542" w14:textId="18352EC3" w:rsidR="00E66558" w:rsidRPr="00064366" w:rsidRDefault="009D71E8" w:rsidP="00064366">
      <w:pPr>
        <w:pStyle w:val="Heading1"/>
      </w:pPr>
      <w:r w:rsidRPr="00064366">
        <w:lastRenderedPageBreak/>
        <w:t>Part B: Review of the previous academic year</w:t>
      </w:r>
    </w:p>
    <w:p w14:paraId="751285B7" w14:textId="72ACB452" w:rsidR="008B6404" w:rsidRDefault="00064366" w:rsidP="00173D4C">
      <w:pPr>
        <w:pStyle w:val="Heading2"/>
      </w:pPr>
      <w:r w:rsidRPr="00173D4C">
        <w:t>Outcomes for disadvantaged pupils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173D4C" w14:paraId="7FB51099" w14:textId="77777777" w:rsidTr="00EB09BC">
        <w:trPr>
          <w:trHeight w:val="1102"/>
        </w:trPr>
        <w:tc>
          <w:tcPr>
            <w:tcW w:w="9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9"/>
              <w:gridCol w:w="3089"/>
              <w:gridCol w:w="3089"/>
            </w:tblGrid>
            <w:tr w:rsidR="00AF2D3F" w14:paraId="7054B4A1" w14:textId="77777777" w:rsidTr="00AF2D3F">
              <w:tc>
                <w:tcPr>
                  <w:tcW w:w="3089" w:type="dxa"/>
                </w:tcPr>
                <w:p w14:paraId="2445C8FA" w14:textId="3D9E4F49" w:rsidR="00AF2D3F" w:rsidRDefault="00AF2D3F" w:rsidP="001671ED">
                  <w:pPr>
                    <w:spacing w:before="60"/>
                  </w:pPr>
                  <w:r>
                    <w:t>Intended outcome</w:t>
                  </w:r>
                </w:p>
              </w:tc>
              <w:tc>
                <w:tcPr>
                  <w:tcW w:w="3089" w:type="dxa"/>
                </w:tcPr>
                <w:p w14:paraId="243BF07F" w14:textId="288DE96A" w:rsidR="00AF2D3F" w:rsidRDefault="00AF2D3F" w:rsidP="001671ED">
                  <w:pPr>
                    <w:spacing w:before="60"/>
                  </w:pPr>
                  <w:r>
                    <w:t>Success criteria</w:t>
                  </w:r>
                </w:p>
              </w:tc>
              <w:tc>
                <w:tcPr>
                  <w:tcW w:w="3089" w:type="dxa"/>
                </w:tcPr>
                <w:p w14:paraId="2A85F6AB" w14:textId="517853CB" w:rsidR="00AF2D3F" w:rsidRDefault="00AF2D3F" w:rsidP="001671ED">
                  <w:pPr>
                    <w:spacing w:before="60"/>
                  </w:pPr>
                  <w:r>
                    <w:t>Impact</w:t>
                  </w:r>
                </w:p>
              </w:tc>
            </w:tr>
            <w:tr w:rsidR="00AF2D3F" w14:paraId="726C6CD5" w14:textId="77777777" w:rsidTr="00AF2D3F">
              <w:tc>
                <w:tcPr>
                  <w:tcW w:w="3089" w:type="dxa"/>
                </w:tcPr>
                <w:p w14:paraId="7CA27703" w14:textId="42128FC4" w:rsidR="00AF2D3F" w:rsidRPr="00AF2D3F" w:rsidRDefault="00AF2D3F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F2D3F">
                    <w:rPr>
                      <w:sz w:val="18"/>
                      <w:szCs w:val="18"/>
                    </w:rPr>
                    <w:t>To increase the number of PP pupils achieving ARE by the end of KS2 in reading to narrow the gap compared to non-PP nationally.</w:t>
                  </w:r>
                </w:p>
              </w:tc>
              <w:tc>
                <w:tcPr>
                  <w:tcW w:w="3089" w:type="dxa"/>
                </w:tcPr>
                <w:p w14:paraId="7FBCB3AF" w14:textId="2569DF32" w:rsidR="00AF2D3F" w:rsidRPr="00AF2D3F" w:rsidRDefault="00AF2D3F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F2D3F">
                    <w:rPr>
                      <w:sz w:val="18"/>
                      <w:szCs w:val="18"/>
                    </w:rPr>
                    <w:t>For the average whole school progress for PP in Reading to be in line with National non-PP.</w:t>
                  </w:r>
                </w:p>
              </w:tc>
              <w:tc>
                <w:tcPr>
                  <w:tcW w:w="3089" w:type="dxa"/>
                </w:tcPr>
                <w:p w14:paraId="35FF3A79" w14:textId="5D9E8650" w:rsidR="00AF2D3F" w:rsidRDefault="00B80A64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 the end of Key stage 2, disadvantaged pupils did outperform all pupils (55% and 48%) but this percentage was well below national average and the progress within Reading was -2.6.</w:t>
                  </w:r>
                </w:p>
                <w:p w14:paraId="2593A619" w14:textId="2C57CA4D" w:rsidR="00B80A64" w:rsidRDefault="00B80A64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14:paraId="3EF8AECF" w14:textId="6D3A8F2F" w:rsidR="00B80A64" w:rsidRDefault="00B80A64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 impact of RWI however did show impact with 70% achieving the phonics standards in Year 1 (national 76%) and 88% achieving the Word Reading goal in Reception (national 75%). It is expected that </w:t>
                  </w:r>
                  <w:r w:rsidR="00DA7837">
                    <w:rPr>
                      <w:sz w:val="18"/>
                      <w:szCs w:val="18"/>
                    </w:rPr>
                    <w:t xml:space="preserve">these skills will support Reading and </w:t>
                  </w:r>
                  <w:r>
                    <w:rPr>
                      <w:sz w:val="18"/>
                      <w:szCs w:val="18"/>
                    </w:rPr>
                    <w:t xml:space="preserve">this pattern will continue through the school. </w:t>
                  </w:r>
                </w:p>
                <w:p w14:paraId="26F3A7A5" w14:textId="77777777" w:rsidR="00B80A64" w:rsidRDefault="00B80A64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14:paraId="05463BAF" w14:textId="1B730781" w:rsidR="00B80A64" w:rsidRPr="00AF2D3F" w:rsidRDefault="00B80A64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F2D3F" w14:paraId="0D3DF6C0" w14:textId="77777777" w:rsidTr="00AF2D3F">
              <w:tc>
                <w:tcPr>
                  <w:tcW w:w="3089" w:type="dxa"/>
                </w:tcPr>
                <w:p w14:paraId="44F8C1AD" w14:textId="77777777" w:rsidR="00AF2D3F" w:rsidRPr="00AF2D3F" w:rsidRDefault="00AF2D3F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F2D3F">
                    <w:rPr>
                      <w:sz w:val="18"/>
                      <w:szCs w:val="18"/>
                    </w:rPr>
                    <w:t xml:space="preserve">To ensure that PP pupils have stamina for writing using a wide range of vocabulary in context. </w:t>
                  </w:r>
                </w:p>
                <w:p w14:paraId="08A6CF02" w14:textId="77777777" w:rsidR="00AF2D3F" w:rsidRPr="00AF2D3F" w:rsidRDefault="00AF2D3F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14:paraId="4498136D" w14:textId="162AF286" w:rsidR="00AF2D3F" w:rsidRPr="00AF2D3F" w:rsidRDefault="00AF2D3F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F2D3F">
                    <w:rPr>
                      <w:sz w:val="18"/>
                      <w:szCs w:val="18"/>
                    </w:rPr>
                    <w:t>To increase the number of PP pupils achieving ARE by the end of KS2 to narrow the gap to National non-PP.</w:t>
                  </w:r>
                </w:p>
              </w:tc>
              <w:tc>
                <w:tcPr>
                  <w:tcW w:w="3089" w:type="dxa"/>
                </w:tcPr>
                <w:p w14:paraId="192E13BE" w14:textId="0D4FEF06" w:rsidR="00AF2D3F" w:rsidRPr="00AF2D3F" w:rsidRDefault="00AF2D3F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F2D3F">
                    <w:rPr>
                      <w:sz w:val="18"/>
                      <w:szCs w:val="18"/>
                    </w:rPr>
                    <w:t>For the average whole school progress for PP in Writing to be in line with National non-PP.</w:t>
                  </w:r>
                </w:p>
              </w:tc>
              <w:tc>
                <w:tcPr>
                  <w:tcW w:w="3089" w:type="dxa"/>
                </w:tcPr>
                <w:p w14:paraId="5A400634" w14:textId="77777777" w:rsidR="00AF2D3F" w:rsidRDefault="00DA7837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21% achieved the expected standard in Writing at the end of Key Stage 2 (national 69%). </w:t>
                  </w:r>
                </w:p>
                <w:p w14:paraId="21114F4D" w14:textId="77777777" w:rsidR="00DA7837" w:rsidRDefault="00DA7837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14:paraId="17B81D05" w14:textId="08EE6C3F" w:rsidR="00DA7837" w:rsidRPr="00AF2D3F" w:rsidRDefault="00DA7837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 quality of teaching is a focus for the revised strategy. This is found to have the biggest impact on pupil outcomes. </w:t>
                  </w:r>
                </w:p>
              </w:tc>
            </w:tr>
            <w:tr w:rsidR="00AF2D3F" w14:paraId="2CD333A0" w14:textId="77777777" w:rsidTr="00AF2D3F">
              <w:tc>
                <w:tcPr>
                  <w:tcW w:w="3089" w:type="dxa"/>
                </w:tcPr>
                <w:p w14:paraId="1D2FE47E" w14:textId="2445D2FB" w:rsidR="00AF2D3F" w:rsidRPr="00AF2D3F" w:rsidRDefault="00AF2D3F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F2D3F">
                    <w:rPr>
                      <w:sz w:val="18"/>
                      <w:szCs w:val="18"/>
                    </w:rPr>
                    <w:t>To ensure all PP pupils catch-up on key English and Maths skills from the Summer 2020 curriculum For PP pupils to make accelerated progress in order to catch-up on key skills missed during the January 2021 Lockdown period of time.</w:t>
                  </w:r>
                </w:p>
              </w:tc>
              <w:tc>
                <w:tcPr>
                  <w:tcW w:w="3089" w:type="dxa"/>
                </w:tcPr>
                <w:p w14:paraId="515D66DA" w14:textId="3DBB5DD1" w:rsidR="00AF2D3F" w:rsidRPr="00AF2D3F" w:rsidRDefault="00AF2D3F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F2D3F">
                    <w:rPr>
                      <w:sz w:val="18"/>
                      <w:szCs w:val="18"/>
                    </w:rPr>
                    <w:t>For the average whole school progress for PP in Maths to be in line with</w:t>
                  </w:r>
                  <w:r w:rsidR="00DA7837">
                    <w:rPr>
                      <w:sz w:val="18"/>
                      <w:szCs w:val="18"/>
                    </w:rPr>
                    <w:t xml:space="preserve"> </w:t>
                  </w:r>
                  <w:r w:rsidRPr="00AF2D3F">
                    <w:rPr>
                      <w:sz w:val="18"/>
                      <w:szCs w:val="18"/>
                    </w:rPr>
                    <w:t>National non-PP.</w:t>
                  </w:r>
                </w:p>
              </w:tc>
              <w:tc>
                <w:tcPr>
                  <w:tcW w:w="3089" w:type="dxa"/>
                </w:tcPr>
                <w:p w14:paraId="44980FE6" w14:textId="77777777" w:rsidR="00AF2D3F" w:rsidRDefault="00DA7837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Outcomes for Key Stage 2 were below national average in all areas. </w:t>
                  </w:r>
                </w:p>
                <w:p w14:paraId="5380C911" w14:textId="77777777" w:rsidR="00DA7837" w:rsidRDefault="00DA7837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14:paraId="073F9210" w14:textId="2FB74A79" w:rsidR="00DA7837" w:rsidRPr="00AF2D3F" w:rsidRDefault="00DA7837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The focus on professional development and research informed practice within the new strategy will help to raise standards.</w:t>
                  </w:r>
                </w:p>
              </w:tc>
            </w:tr>
            <w:tr w:rsidR="00AF2D3F" w14:paraId="4F1E4A8D" w14:textId="77777777" w:rsidTr="00AF2D3F">
              <w:tc>
                <w:tcPr>
                  <w:tcW w:w="3089" w:type="dxa"/>
                </w:tcPr>
                <w:p w14:paraId="3D70435D" w14:textId="5C0FF36F" w:rsidR="00AF2D3F" w:rsidRPr="00AF2D3F" w:rsidRDefault="00AF2D3F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F2D3F">
                    <w:rPr>
                      <w:sz w:val="18"/>
                      <w:szCs w:val="18"/>
                    </w:rPr>
                    <w:t>Good attendance rates for pupils eligible for PP in line with non-PP national.</w:t>
                  </w:r>
                </w:p>
              </w:tc>
              <w:tc>
                <w:tcPr>
                  <w:tcW w:w="3089" w:type="dxa"/>
                </w:tcPr>
                <w:p w14:paraId="17E8020D" w14:textId="77777777" w:rsidR="00AF2D3F" w:rsidRPr="00AF2D3F" w:rsidRDefault="00AF2D3F" w:rsidP="00AF2D3F">
                  <w:pPr>
                    <w:spacing w:before="60"/>
                    <w:rPr>
                      <w:i/>
                      <w:iCs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AF2D3F">
                    <w:rPr>
                      <w:sz w:val="18"/>
                      <w:szCs w:val="18"/>
                    </w:rPr>
                    <w:t>PP pupils to achieve at least 97% attendance by the end of the year. Reduce the number of persistent absentees among pupils eligible for PP to 10% or below.</w:t>
                  </w:r>
                </w:p>
                <w:p w14:paraId="16D51025" w14:textId="77777777" w:rsidR="00AF2D3F" w:rsidRPr="00AF2D3F" w:rsidRDefault="00AF2D3F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</w:tcPr>
                <w:p w14:paraId="202CD0C4" w14:textId="118C7E4E" w:rsidR="00AF2D3F" w:rsidRDefault="00DA7837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Attendance was 89% for all pupils and persistent absence was 40%. This was heavily impacted by covid. </w:t>
                  </w:r>
                </w:p>
                <w:p w14:paraId="4092E21E" w14:textId="77777777" w:rsidR="00DA7837" w:rsidRDefault="00DA7837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14:paraId="06D90841" w14:textId="3B894D63" w:rsidR="00DA7837" w:rsidRPr="00AF2D3F" w:rsidRDefault="00DA7837" w:rsidP="00AF2D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This remains a focus in the new strategy.</w:t>
                  </w:r>
                </w:p>
              </w:tc>
            </w:tr>
          </w:tbl>
          <w:p w14:paraId="5023926C" w14:textId="04FD14C7" w:rsidR="00173D4C" w:rsidRDefault="00173D4C" w:rsidP="00EB09BC"/>
        </w:tc>
      </w:tr>
    </w:tbl>
    <w:p w14:paraId="2A7D5548" w14:textId="0199D85C" w:rsidR="00E66558" w:rsidRDefault="006D6372" w:rsidP="00A82A98">
      <w:pPr>
        <w:pStyle w:val="Heading2"/>
      </w:pPr>
      <w:r>
        <w:t>E</w:t>
      </w:r>
      <w:r w:rsidR="009D71E8">
        <w:t>xternally provided programmes</w:t>
      </w:r>
    </w:p>
    <w:p w14:paraId="2A7D5549" w14:textId="1DAEF3DE" w:rsidR="00E66558" w:rsidRDefault="0B240EAF" w:rsidP="07FFD3D3">
      <w:pPr>
        <w:rPr>
          <w:i/>
          <w:iCs/>
        </w:rPr>
      </w:pPr>
      <w:r w:rsidRPr="07FFD3D3">
        <w:rPr>
          <w:i/>
          <w:iCs/>
        </w:rPr>
        <w:t xml:space="preserve">Please include the names of any non-DfE programmes that you </w:t>
      </w:r>
      <w:r w:rsidR="491E3A64" w:rsidRPr="07FFD3D3">
        <w:rPr>
          <w:i/>
          <w:iCs/>
        </w:rPr>
        <w:t xml:space="preserve">used your pupil premium (or recovery premium) to fund </w:t>
      </w:r>
      <w:r w:rsidRPr="07FFD3D3">
        <w:rPr>
          <w:i/>
          <w:iCs/>
        </w:rPr>
        <w:t xml:space="preserve">in the previous academic year.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0DC5C803" w:rsidR="00E66558" w:rsidRDefault="005C7EB3">
            <w:pPr>
              <w:pStyle w:val="TableRow"/>
            </w:pPr>
            <w:r>
              <w:t>The Thrive Approach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4B96D8BF" w:rsidR="00E66558" w:rsidRDefault="005C7EB3">
            <w:pPr>
              <w:pStyle w:val="TableRowCentered"/>
              <w:jc w:val="left"/>
            </w:pPr>
            <w:r>
              <w:t>Thrive</w:t>
            </w:r>
          </w:p>
        </w:tc>
      </w:tr>
      <w:tr w:rsidR="00E66558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5DCB0FE4" w:rsidR="00E66558" w:rsidRDefault="005C7EB3">
            <w:pPr>
              <w:pStyle w:val="TableRow"/>
            </w:pPr>
            <w:r>
              <w:t>Read Write Inc.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31B0B450" w:rsidR="00E66558" w:rsidRDefault="005C7EB3">
            <w:pPr>
              <w:pStyle w:val="TableRowCentered"/>
              <w:jc w:val="left"/>
            </w:pPr>
            <w:r>
              <w:t>RWI</w:t>
            </w:r>
          </w:p>
        </w:tc>
      </w:tr>
      <w:bookmarkEnd w:id="12"/>
      <w:bookmarkEnd w:id="13"/>
      <w:bookmarkEnd w:id="14"/>
    </w:tbl>
    <w:p w14:paraId="2A7D5564" w14:textId="77777777" w:rsidR="00E66558" w:rsidRDefault="00E66558"/>
    <w:sectPr w:rsidR="00E66558">
      <w:headerReference w:type="default" r:id="rId18"/>
      <w:footerReference w:type="default" r:id="rId19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ADBD" w14:textId="77777777" w:rsidR="00A33F7F" w:rsidRDefault="00A33F7F">
      <w:pPr>
        <w:spacing w:after="0" w:line="240" w:lineRule="auto"/>
      </w:pPr>
      <w:r>
        <w:separator/>
      </w:r>
    </w:p>
  </w:endnote>
  <w:endnote w:type="continuationSeparator" w:id="0">
    <w:p w14:paraId="289AA7FF" w14:textId="77777777" w:rsidR="00A33F7F" w:rsidRDefault="00A33F7F">
      <w:pPr>
        <w:spacing w:after="0" w:line="240" w:lineRule="auto"/>
      </w:pPr>
      <w:r>
        <w:continuationSeparator/>
      </w:r>
    </w:p>
  </w:endnote>
  <w:endnote w:type="continuationNotice" w:id="1">
    <w:p w14:paraId="3590CDDA" w14:textId="77777777" w:rsidR="00A33F7F" w:rsidRDefault="00A33F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E" w14:textId="77777777" w:rsidR="00C373EA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92F3" w14:textId="77777777" w:rsidR="00A33F7F" w:rsidRDefault="00A33F7F">
      <w:pPr>
        <w:spacing w:after="0" w:line="240" w:lineRule="auto"/>
      </w:pPr>
      <w:r>
        <w:separator/>
      </w:r>
    </w:p>
  </w:footnote>
  <w:footnote w:type="continuationSeparator" w:id="0">
    <w:p w14:paraId="7BB8493A" w14:textId="77777777" w:rsidR="00A33F7F" w:rsidRDefault="00A33F7F">
      <w:pPr>
        <w:spacing w:after="0" w:line="240" w:lineRule="auto"/>
      </w:pPr>
      <w:r>
        <w:continuationSeparator/>
      </w:r>
    </w:p>
  </w:footnote>
  <w:footnote w:type="continuationNotice" w:id="1">
    <w:p w14:paraId="518D3BEB" w14:textId="77777777" w:rsidR="00A33F7F" w:rsidRDefault="00A33F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C" w14:textId="77777777" w:rsidR="00C373EA" w:rsidRDefault="00C37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D802757"/>
    <w:multiLevelType w:val="hybridMultilevel"/>
    <w:tmpl w:val="BBD0B9D6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AD26892"/>
    <w:multiLevelType w:val="hybridMultilevel"/>
    <w:tmpl w:val="E30A8474"/>
    <w:lvl w:ilvl="0" w:tplc="D1B6E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2" w15:restartNumberingAfterBreak="0">
    <w:nsid w:val="6D3426CA"/>
    <w:multiLevelType w:val="hybridMultilevel"/>
    <w:tmpl w:val="80441BA2"/>
    <w:lvl w:ilvl="0" w:tplc="08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3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4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4711259">
    <w:abstractNumId w:val="3"/>
  </w:num>
  <w:num w:numId="2" w16cid:durableId="1628730595">
    <w:abstractNumId w:val="1"/>
  </w:num>
  <w:num w:numId="3" w16cid:durableId="497188144">
    <w:abstractNumId w:val="4"/>
  </w:num>
  <w:num w:numId="4" w16cid:durableId="1138914232">
    <w:abstractNumId w:val="5"/>
  </w:num>
  <w:num w:numId="5" w16cid:durableId="857932188">
    <w:abstractNumId w:val="0"/>
  </w:num>
  <w:num w:numId="6" w16cid:durableId="798501009">
    <w:abstractNumId w:val="7"/>
  </w:num>
  <w:num w:numId="7" w16cid:durableId="1210847263">
    <w:abstractNumId w:val="10"/>
  </w:num>
  <w:num w:numId="8" w16cid:durableId="982348153">
    <w:abstractNumId w:val="15"/>
  </w:num>
  <w:num w:numId="9" w16cid:durableId="1529290868">
    <w:abstractNumId w:val="13"/>
  </w:num>
  <w:num w:numId="10" w16cid:durableId="1171066271">
    <w:abstractNumId w:val="11"/>
  </w:num>
  <w:num w:numId="11" w16cid:durableId="1453552857">
    <w:abstractNumId w:val="2"/>
  </w:num>
  <w:num w:numId="12" w16cid:durableId="1812097430">
    <w:abstractNumId w:val="14"/>
  </w:num>
  <w:num w:numId="13" w16cid:durableId="42288650">
    <w:abstractNumId w:val="9"/>
  </w:num>
  <w:num w:numId="14" w16cid:durableId="474760877">
    <w:abstractNumId w:val="8"/>
  </w:num>
  <w:num w:numId="15" w16cid:durableId="851338921">
    <w:abstractNumId w:val="12"/>
  </w:num>
  <w:num w:numId="16" w16cid:durableId="6128574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02951"/>
    <w:rsid w:val="00003A45"/>
    <w:rsid w:val="00023729"/>
    <w:rsid w:val="000243B4"/>
    <w:rsid w:val="000452EB"/>
    <w:rsid w:val="000463AE"/>
    <w:rsid w:val="000507A3"/>
    <w:rsid w:val="00060A62"/>
    <w:rsid w:val="00064366"/>
    <w:rsid w:val="00066B73"/>
    <w:rsid w:val="00071481"/>
    <w:rsid w:val="00075FAE"/>
    <w:rsid w:val="00082F38"/>
    <w:rsid w:val="0008384B"/>
    <w:rsid w:val="000929EC"/>
    <w:rsid w:val="00093CDE"/>
    <w:rsid w:val="000A6379"/>
    <w:rsid w:val="000C175A"/>
    <w:rsid w:val="000D22B0"/>
    <w:rsid w:val="000D35C9"/>
    <w:rsid w:val="000D520C"/>
    <w:rsid w:val="000D6596"/>
    <w:rsid w:val="000E6DF0"/>
    <w:rsid w:val="001037CB"/>
    <w:rsid w:val="0010629E"/>
    <w:rsid w:val="00115538"/>
    <w:rsid w:val="00120AB1"/>
    <w:rsid w:val="00123A7F"/>
    <w:rsid w:val="001278D0"/>
    <w:rsid w:val="00127F72"/>
    <w:rsid w:val="00140646"/>
    <w:rsid w:val="00147A4B"/>
    <w:rsid w:val="001671ED"/>
    <w:rsid w:val="001727FA"/>
    <w:rsid w:val="00173D4C"/>
    <w:rsid w:val="00183218"/>
    <w:rsid w:val="00185988"/>
    <w:rsid w:val="001873B6"/>
    <w:rsid w:val="001901E6"/>
    <w:rsid w:val="00191305"/>
    <w:rsid w:val="00195B55"/>
    <w:rsid w:val="001A2FE8"/>
    <w:rsid w:val="001A33AC"/>
    <w:rsid w:val="001C1C51"/>
    <w:rsid w:val="001E0ECA"/>
    <w:rsid w:val="001E206F"/>
    <w:rsid w:val="001E5750"/>
    <w:rsid w:val="001E7739"/>
    <w:rsid w:val="001F3DB4"/>
    <w:rsid w:val="00204F40"/>
    <w:rsid w:val="00205DEF"/>
    <w:rsid w:val="00216C8A"/>
    <w:rsid w:val="00226317"/>
    <w:rsid w:val="00231539"/>
    <w:rsid w:val="002523E3"/>
    <w:rsid w:val="00266FA5"/>
    <w:rsid w:val="002920F4"/>
    <w:rsid w:val="002940F3"/>
    <w:rsid w:val="00295842"/>
    <w:rsid w:val="002B3574"/>
    <w:rsid w:val="002B6B74"/>
    <w:rsid w:val="002C5422"/>
    <w:rsid w:val="002C6AE7"/>
    <w:rsid w:val="002D0D15"/>
    <w:rsid w:val="002D2D4B"/>
    <w:rsid w:val="002D3805"/>
    <w:rsid w:val="002E66AE"/>
    <w:rsid w:val="002E7763"/>
    <w:rsid w:val="002F5842"/>
    <w:rsid w:val="00306CB7"/>
    <w:rsid w:val="003111F5"/>
    <w:rsid w:val="00336200"/>
    <w:rsid w:val="00337418"/>
    <w:rsid w:val="00351D83"/>
    <w:rsid w:val="00353E46"/>
    <w:rsid w:val="003576C4"/>
    <w:rsid w:val="00366AB0"/>
    <w:rsid w:val="0037437C"/>
    <w:rsid w:val="0038146B"/>
    <w:rsid w:val="0038340F"/>
    <w:rsid w:val="00384457"/>
    <w:rsid w:val="00384F24"/>
    <w:rsid w:val="003A32B2"/>
    <w:rsid w:val="003A47DD"/>
    <w:rsid w:val="003A634F"/>
    <w:rsid w:val="003B588A"/>
    <w:rsid w:val="003B621D"/>
    <w:rsid w:val="003C4388"/>
    <w:rsid w:val="003C4C27"/>
    <w:rsid w:val="003C7F7B"/>
    <w:rsid w:val="003D2EAA"/>
    <w:rsid w:val="003E054C"/>
    <w:rsid w:val="003E27A0"/>
    <w:rsid w:val="003E3872"/>
    <w:rsid w:val="004044AA"/>
    <w:rsid w:val="004044C8"/>
    <w:rsid w:val="00404F3F"/>
    <w:rsid w:val="00410B5D"/>
    <w:rsid w:val="00413BEC"/>
    <w:rsid w:val="0042265E"/>
    <w:rsid w:val="00424ED7"/>
    <w:rsid w:val="00425258"/>
    <w:rsid w:val="00426217"/>
    <w:rsid w:val="00431A80"/>
    <w:rsid w:val="00435A89"/>
    <w:rsid w:val="00452267"/>
    <w:rsid w:val="00453307"/>
    <w:rsid w:val="00457E36"/>
    <w:rsid w:val="00462F8F"/>
    <w:rsid w:val="00480AA9"/>
    <w:rsid w:val="00481D56"/>
    <w:rsid w:val="00490408"/>
    <w:rsid w:val="004A4C45"/>
    <w:rsid w:val="004B0485"/>
    <w:rsid w:val="004B428E"/>
    <w:rsid w:val="004B4D37"/>
    <w:rsid w:val="004C42F0"/>
    <w:rsid w:val="004E1D73"/>
    <w:rsid w:val="0051286E"/>
    <w:rsid w:val="00516021"/>
    <w:rsid w:val="00516457"/>
    <w:rsid w:val="00520A0C"/>
    <w:rsid w:val="00530E37"/>
    <w:rsid w:val="005464A1"/>
    <w:rsid w:val="00546F12"/>
    <w:rsid w:val="0055339C"/>
    <w:rsid w:val="00562B3C"/>
    <w:rsid w:val="00564E40"/>
    <w:rsid w:val="005750E2"/>
    <w:rsid w:val="0058313F"/>
    <w:rsid w:val="00585859"/>
    <w:rsid w:val="00586FBC"/>
    <w:rsid w:val="005879C9"/>
    <w:rsid w:val="005A3C6B"/>
    <w:rsid w:val="005B1EA5"/>
    <w:rsid w:val="005C7EB3"/>
    <w:rsid w:val="005D7176"/>
    <w:rsid w:val="005E1F24"/>
    <w:rsid w:val="005E73F1"/>
    <w:rsid w:val="005F07EF"/>
    <w:rsid w:val="00600B2E"/>
    <w:rsid w:val="00607CEB"/>
    <w:rsid w:val="00613299"/>
    <w:rsid w:val="0061762D"/>
    <w:rsid w:val="00634238"/>
    <w:rsid w:val="00635FBC"/>
    <w:rsid w:val="00637728"/>
    <w:rsid w:val="0064113A"/>
    <w:rsid w:val="00644002"/>
    <w:rsid w:val="006458B1"/>
    <w:rsid w:val="00650529"/>
    <w:rsid w:val="00650BAB"/>
    <w:rsid w:val="00651737"/>
    <w:rsid w:val="006671BF"/>
    <w:rsid w:val="00672A7D"/>
    <w:rsid w:val="00681416"/>
    <w:rsid w:val="006A06F5"/>
    <w:rsid w:val="006A0ED2"/>
    <w:rsid w:val="006B0A73"/>
    <w:rsid w:val="006B5A6B"/>
    <w:rsid w:val="006C0F82"/>
    <w:rsid w:val="006C332E"/>
    <w:rsid w:val="006C5901"/>
    <w:rsid w:val="006D6372"/>
    <w:rsid w:val="006D6E5C"/>
    <w:rsid w:val="006E02AF"/>
    <w:rsid w:val="006E0786"/>
    <w:rsid w:val="006E6B4A"/>
    <w:rsid w:val="006E7449"/>
    <w:rsid w:val="006E7FB1"/>
    <w:rsid w:val="006F2604"/>
    <w:rsid w:val="006F5319"/>
    <w:rsid w:val="006F55FD"/>
    <w:rsid w:val="006F5D21"/>
    <w:rsid w:val="00711BE3"/>
    <w:rsid w:val="00724FA7"/>
    <w:rsid w:val="00725415"/>
    <w:rsid w:val="00727505"/>
    <w:rsid w:val="00731581"/>
    <w:rsid w:val="00741B9E"/>
    <w:rsid w:val="00743DAC"/>
    <w:rsid w:val="0075337B"/>
    <w:rsid w:val="00755CD4"/>
    <w:rsid w:val="00757F96"/>
    <w:rsid w:val="00785285"/>
    <w:rsid w:val="0078529D"/>
    <w:rsid w:val="00787DC1"/>
    <w:rsid w:val="00794070"/>
    <w:rsid w:val="00795F75"/>
    <w:rsid w:val="007A713B"/>
    <w:rsid w:val="007B37D7"/>
    <w:rsid w:val="007B64E5"/>
    <w:rsid w:val="007C10B2"/>
    <w:rsid w:val="007C2F04"/>
    <w:rsid w:val="007F5B8B"/>
    <w:rsid w:val="00817E9A"/>
    <w:rsid w:val="00830D57"/>
    <w:rsid w:val="00843649"/>
    <w:rsid w:val="00844C36"/>
    <w:rsid w:val="00860B07"/>
    <w:rsid w:val="008616F6"/>
    <w:rsid w:val="0086259C"/>
    <w:rsid w:val="00883F24"/>
    <w:rsid w:val="00897E1F"/>
    <w:rsid w:val="008B2CB4"/>
    <w:rsid w:val="008B6404"/>
    <w:rsid w:val="008C2C21"/>
    <w:rsid w:val="008C7DD3"/>
    <w:rsid w:val="008E000B"/>
    <w:rsid w:val="008E2926"/>
    <w:rsid w:val="008E35C6"/>
    <w:rsid w:val="008E3F49"/>
    <w:rsid w:val="008F243B"/>
    <w:rsid w:val="008F4675"/>
    <w:rsid w:val="008F7293"/>
    <w:rsid w:val="00904A66"/>
    <w:rsid w:val="0092287F"/>
    <w:rsid w:val="0092495B"/>
    <w:rsid w:val="0092660E"/>
    <w:rsid w:val="00936519"/>
    <w:rsid w:val="00941DA3"/>
    <w:rsid w:val="00942C0C"/>
    <w:rsid w:val="009539E3"/>
    <w:rsid w:val="00954A5E"/>
    <w:rsid w:val="009551B2"/>
    <w:rsid w:val="00964625"/>
    <w:rsid w:val="00981C1D"/>
    <w:rsid w:val="009862B3"/>
    <w:rsid w:val="0099109C"/>
    <w:rsid w:val="009936DB"/>
    <w:rsid w:val="00993CFC"/>
    <w:rsid w:val="009A1DC2"/>
    <w:rsid w:val="009C0914"/>
    <w:rsid w:val="009C27E5"/>
    <w:rsid w:val="009D71E8"/>
    <w:rsid w:val="009E104B"/>
    <w:rsid w:val="009E7DE4"/>
    <w:rsid w:val="009F3BBD"/>
    <w:rsid w:val="00A063DD"/>
    <w:rsid w:val="00A112B5"/>
    <w:rsid w:val="00A14EEA"/>
    <w:rsid w:val="00A33F7F"/>
    <w:rsid w:val="00A44FBB"/>
    <w:rsid w:val="00A50104"/>
    <w:rsid w:val="00A522E0"/>
    <w:rsid w:val="00A63579"/>
    <w:rsid w:val="00A638AC"/>
    <w:rsid w:val="00A727E5"/>
    <w:rsid w:val="00A748B5"/>
    <w:rsid w:val="00A80A32"/>
    <w:rsid w:val="00A82A98"/>
    <w:rsid w:val="00A82D16"/>
    <w:rsid w:val="00A95F75"/>
    <w:rsid w:val="00A96B83"/>
    <w:rsid w:val="00AA355B"/>
    <w:rsid w:val="00AA42E5"/>
    <w:rsid w:val="00AB24FA"/>
    <w:rsid w:val="00AD7B5A"/>
    <w:rsid w:val="00AE229F"/>
    <w:rsid w:val="00AF2D3F"/>
    <w:rsid w:val="00AF5E20"/>
    <w:rsid w:val="00B002FA"/>
    <w:rsid w:val="00B00327"/>
    <w:rsid w:val="00B024B3"/>
    <w:rsid w:val="00B11DE8"/>
    <w:rsid w:val="00B179ED"/>
    <w:rsid w:val="00B20E18"/>
    <w:rsid w:val="00B2574D"/>
    <w:rsid w:val="00B572C4"/>
    <w:rsid w:val="00B60858"/>
    <w:rsid w:val="00B74D4E"/>
    <w:rsid w:val="00B80219"/>
    <w:rsid w:val="00B80A64"/>
    <w:rsid w:val="00BA19A5"/>
    <w:rsid w:val="00BC67F6"/>
    <w:rsid w:val="00BD2004"/>
    <w:rsid w:val="00BD4B12"/>
    <w:rsid w:val="00BE2F92"/>
    <w:rsid w:val="00BF0D5F"/>
    <w:rsid w:val="00C11EB4"/>
    <w:rsid w:val="00C12746"/>
    <w:rsid w:val="00C25827"/>
    <w:rsid w:val="00C31BB8"/>
    <w:rsid w:val="00C373EA"/>
    <w:rsid w:val="00C621C1"/>
    <w:rsid w:val="00C62989"/>
    <w:rsid w:val="00C65CBB"/>
    <w:rsid w:val="00C80F37"/>
    <w:rsid w:val="00C97A7F"/>
    <w:rsid w:val="00CB5B17"/>
    <w:rsid w:val="00CC4443"/>
    <w:rsid w:val="00CC5CAF"/>
    <w:rsid w:val="00D06874"/>
    <w:rsid w:val="00D173F7"/>
    <w:rsid w:val="00D20203"/>
    <w:rsid w:val="00D204E0"/>
    <w:rsid w:val="00D21354"/>
    <w:rsid w:val="00D22400"/>
    <w:rsid w:val="00D278BA"/>
    <w:rsid w:val="00D33FE5"/>
    <w:rsid w:val="00D3578A"/>
    <w:rsid w:val="00D4463C"/>
    <w:rsid w:val="00D501EE"/>
    <w:rsid w:val="00D517DC"/>
    <w:rsid w:val="00D5590D"/>
    <w:rsid w:val="00D618E4"/>
    <w:rsid w:val="00D61DA5"/>
    <w:rsid w:val="00D875ED"/>
    <w:rsid w:val="00D877D0"/>
    <w:rsid w:val="00D90013"/>
    <w:rsid w:val="00D91B9C"/>
    <w:rsid w:val="00D92C1B"/>
    <w:rsid w:val="00D94CC7"/>
    <w:rsid w:val="00DA1AF4"/>
    <w:rsid w:val="00DA7837"/>
    <w:rsid w:val="00DB0C60"/>
    <w:rsid w:val="00DC641A"/>
    <w:rsid w:val="00DD6B7D"/>
    <w:rsid w:val="00DD6E14"/>
    <w:rsid w:val="00DE15AC"/>
    <w:rsid w:val="00E061EC"/>
    <w:rsid w:val="00E13E51"/>
    <w:rsid w:val="00E40261"/>
    <w:rsid w:val="00E43EAD"/>
    <w:rsid w:val="00E463A5"/>
    <w:rsid w:val="00E62DCB"/>
    <w:rsid w:val="00E651DD"/>
    <w:rsid w:val="00E66558"/>
    <w:rsid w:val="00E70D81"/>
    <w:rsid w:val="00E726A6"/>
    <w:rsid w:val="00E86F05"/>
    <w:rsid w:val="00EA3A2A"/>
    <w:rsid w:val="00EB4556"/>
    <w:rsid w:val="00EB64C8"/>
    <w:rsid w:val="00ED5108"/>
    <w:rsid w:val="00F012CA"/>
    <w:rsid w:val="00F01752"/>
    <w:rsid w:val="00F0355A"/>
    <w:rsid w:val="00F24A7E"/>
    <w:rsid w:val="00F33DC0"/>
    <w:rsid w:val="00F62587"/>
    <w:rsid w:val="00F63E9E"/>
    <w:rsid w:val="00F76843"/>
    <w:rsid w:val="00F776E1"/>
    <w:rsid w:val="00F925EB"/>
    <w:rsid w:val="00FA6DD0"/>
    <w:rsid w:val="00FB5E4C"/>
    <w:rsid w:val="00FC28DF"/>
    <w:rsid w:val="00FD4495"/>
    <w:rsid w:val="00FE3136"/>
    <w:rsid w:val="00FE50A3"/>
    <w:rsid w:val="00FF369D"/>
    <w:rsid w:val="00FF6FB0"/>
    <w:rsid w:val="05B6D577"/>
    <w:rsid w:val="069AA0E3"/>
    <w:rsid w:val="07FFD3D3"/>
    <w:rsid w:val="0B240EAF"/>
    <w:rsid w:val="13173609"/>
    <w:rsid w:val="1A172959"/>
    <w:rsid w:val="1CBF4D92"/>
    <w:rsid w:val="2497129E"/>
    <w:rsid w:val="2860AB8E"/>
    <w:rsid w:val="2FFB967E"/>
    <w:rsid w:val="31CC4DD9"/>
    <w:rsid w:val="380BAE89"/>
    <w:rsid w:val="3A3F1ACF"/>
    <w:rsid w:val="3BE13FA2"/>
    <w:rsid w:val="3EA4202B"/>
    <w:rsid w:val="418407A1"/>
    <w:rsid w:val="491E3A64"/>
    <w:rsid w:val="4BF69EA0"/>
    <w:rsid w:val="5C40C457"/>
    <w:rsid w:val="5F3A7B6B"/>
    <w:rsid w:val="617B4808"/>
    <w:rsid w:val="625D1A15"/>
    <w:rsid w:val="6D28B1AF"/>
    <w:rsid w:val="6D616F43"/>
    <w:rsid w:val="6EB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8F3CF67D-12D9-4CBD-8668-182D8E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paragraph" w:styleId="Revision">
    <w:name w:val="Revision"/>
    <w:hidden/>
    <w:uiPriority w:val="99"/>
    <w:semiHidden/>
    <w:rsid w:val="00115538"/>
    <w:pPr>
      <w:autoSpaceDN/>
    </w:pPr>
    <w:rPr>
      <w:color w:val="0D0D0D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E726A6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95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251">
    <w:name w:val="LFO251"/>
    <w:rsid w:val="008F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education-evidence/guidance-reports/primary-sel" TargetMode="External"/><Relationship Id="rId13" Type="http://schemas.openxmlformats.org/officeDocument/2006/relationships/hyperlink" Target="https://educationendowmentfoundation.org.uk/support-for-schools/school-planning-support/1-high-quality-teachin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cationendowmentfoundation.org.uk/education-evidence/guidance-reports/supporting-parents" TargetMode="External"/><Relationship Id="rId12" Type="http://schemas.openxmlformats.org/officeDocument/2006/relationships/hyperlink" Target="https://educationendowmentfoundation.org.uk/evidence-summaries/teaching-learning-toolkit/phonics/" TargetMode="External"/><Relationship Id="rId17" Type="http://schemas.openxmlformats.org/officeDocument/2006/relationships/hyperlink" Target="https://www.gov.uk/government/publications/school-attendance/framework-for-securing-full-attendance-actions-for-schools-and-local-authorit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endowmentfoundation.org.uk/education-evidence/teaching-learning-toolkit/behaviour-intervention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endowmentfoundation.org.uk/evidence-summaries/teaching-learning-toolkit/oral-language-intervention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ec-ed.co.uk/best-practice/teaching-interventions-pre-and-over-learning/" TargetMode="External"/><Relationship Id="rId10" Type="http://schemas.openxmlformats.org/officeDocument/2006/relationships/hyperlink" Target="https://educationendowmentfoundation.org.uk/education-evidence/teaching-learning-toolkit/teaching-assistant-intervention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ducationendowmentfoundation.org.uk/education-evidence/guidance-reports/send" TargetMode="External"/><Relationship Id="rId14" Type="http://schemas.openxmlformats.org/officeDocument/2006/relationships/hyperlink" Target="https://educationendowmentfoundation.org.uk/tools/assessing-and-monitoring-pupil-progress/testing/standardised-te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strategy statement</vt:lpstr>
    </vt:vector>
  </TitlesOfParts>
  <Company/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strategy statement</dc:title>
  <dc:subject/>
  <dc:creator>Publishing.TEAM@education.gsi.gov.uk</dc:creator>
  <cp:keywords/>
  <dc:description>Master-ET-v3.8</dc:description>
  <cp:lastModifiedBy>N Finch-Turner MDJ</cp:lastModifiedBy>
  <cp:revision>2</cp:revision>
  <cp:lastPrinted>2014-09-17T21:26:00Z</cp:lastPrinted>
  <dcterms:created xsi:type="dcterms:W3CDTF">2023-03-17T14:58:00Z</dcterms:created>
  <dcterms:modified xsi:type="dcterms:W3CDTF">2023-03-17T14:58:00Z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